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RELAÇÃO DE EMPREGO</w:t>
      </w:r>
    </w:p>
    <w:p/>
    <w:p>
      <w:r>
        <w:rPr>
          <w:b/>
          <w:bCs/>
        </w:rPr>
        <w:t xml:space="preserve">Julgado em: </w:t>
      </w:r>
      <w:r>
        <w:t xml:space="preserve">29/06/1980</w:t>
      </w:r>
    </w:p>
    <w:p/>
    <w:p>
      <w:r>
        <w:t xml:space="preserve">REINTEGRAÇÃO INDEPENDENTEMENTE DE RECONVENÇÃO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''Mérito'' - Embora tenha sido o inquérito julgado improcedente pela v. decisão ''a quo'', esta, lhe negou, decidindo embargos declaratórios, a pretensão de ser reintegrado no emprego, o que fora pleiteado quando da defesa prévia. ''Data venia'', parece que tem razão o recorrente. A improcedência do inquérito importa, em regra, na reintegração do empregado, como mera conseqüência desse juízo, sendo desnecessário, que o empregado exercite esta pretensão através de reconvenção. Neste sentido já se manifestou a Egrégia 2ª Turma deste Tribunal, como se vê do acórdão publicado na Revista LTr. vol. 40, pág. 1.053. Esta conclusão é a que melhor se coaduna com o princípio de simplicidade do processo do trabalho. Tenha-se, ainda, presente que tem sido discutido o cabimento da reconvenção nos feitos desta justiça especializada. Há de se entender portanto, ''data venia'', que não se pode exigir que o empregado seja obrigado a reconvir para que seja reintegrado no emprego. - Dá-se assim, provimento ao recurso do requerido, para determinar que seja ele reintegrado no emprego, com o pagamento dos salários cabíveis. Proc. TRT-RO-872/80, Julgado em 30-06-1980 Arquivo do Ementário Forense, TRT/52 EMFOR 393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inexistência de falta grave, que leva à improcedência do inquérito, importa em que se determine a reintegração do empregado, como simples decorrência desse resultado (art. 495 da CLT), independentemente de reconvenção.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2026-09-11T00:12:41.595Z</dcterms:created>
  <dcterms:modified xsi:type="dcterms:W3CDTF">2026-09-11T00:12:41.595Z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