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02/02/1981</w:t>
      </w:r>
    </w:p>
    <w:p/>
    <w:p>
      <w:r>
        <w:t xml:space="preserve">EQUIVALÊNCIA À PERCEBIDA POR EMPREGADO DA MESMA CATEGORIA DA EMPRESA TOMADORA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461 da CLT não está em causa, nem foi aplicado, pelo que não pode ser tido como infringido. E toda a jurisprudência coligida a ele diz respeito. - Na realidade, como bem enquadrou o acórdão recorrido, à hipótese rege-se pelo art. 12 da Lei nº 6.019/74, que trata juridicamente de forma diversa a equiparação salarial de trabalhador temporário em empresas urbanas, ao dispor, no seu art. 12, que fica assegurado remuneração equivalente à percebida pelos empregados da mesma categoria da empresa tomadora ou cliente. - Não conheço da revista. Proc. TST-RR- 2.590/80, Julgado em 03-02-1981 Arquivo do Ementário Forense, TST/1294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6.019, de 03-01-1974. - Segundo o art. 12 da Lei 6.019/74, fica assegurada a quem labuta em trabalho temporário ''remuneração equivalente à percebida pelos empregados de mesma categoria da empresa tomadora ou cliente''.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2026-10-16T18:27:10.567Z</dcterms:created>
  <dcterms:modified xsi:type="dcterms:W3CDTF">2026-10-16T18:27:10.567Z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