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30/03/1980</w:t>
      </w:r>
    </w:p>
    <w:p/>
    <w:p>
      <w:r>
        <w:t xml:space="preserve">ADICIONAIS POR TEMPO DE SERVIÇO — DIREITO ADQUIRIDO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meu voto a este: - Tenho sustentado que quando o trabalhador optou pelo regime trabalhista, abdicando da condição de servidor público, ele conservou seus direitos adquiridos. Assim, não perdeu o direito a adicionais por tempo de serviço; mas, pelo mesmo motivo, não conquistou, a partir da opção, novos adicionais. - Com direito adquirido a certo número de adicionais, o trabalhador adquiriu, apenas a prerrogativa de receber determinada quantia: o número de adicionais é invariável, mas não seu valor, que, dinamicamente, vai incidindo, "ad futurum", sobre as sucessivas remunerações a que o empregado faz jus. - Nesse ponto e nesses termos, nego provimento ao recurso. Proc. TST-RR-2.610/79, Julgado em 31-03-1980 VENCIDOS OS MINISTROS MARCELO PIMENTEL E NELSON TAPAJÓS Arquivo do Ementário Forense, TST/1108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adicionais por tempo de serviço a que o empregado tinha direito antes da opção pelo regime trabalhista constituem direito adquirido. Seu número se torna inalterável, mas não seu valor, pois esses adicionais devem incidir sobre o salário que seja devido ao empregado "ad futurum".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2026-07-28T01:58:48.063Z</dcterms:created>
  <dcterms:modified xsi:type="dcterms:W3CDTF">2026-07-28T01:58:48.063Z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