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19/05/1980</w:t>
      </w:r>
    </w:p>
    <w:p/>
    <w:p>
      <w:r>
        <w:t xml:space="preserve">RECEBIMENTO NO ENDEREÇO DA PARTE MAS POR PESSOA DESCONHECIDA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 que a notificação entregue no endereço correto é válida, não importando que a pessoa a quem é entregue, não seja o próprio advogado da empresa, no caso. Ademais, não há prova de que o cidadão que firmou o recibo da notificação não seja o zelador ou porteiro do edifício onde o advogado tem escritório. Assim, porque pacífica a jurisprudência desta Corte no sentido da validade da notificação, quando a mesma é entregue no endereço fornecido pela parte e que a mesma, nesta Justiça, não é pessoal, não conheço do recurso quanto à preliminar, em face da inocorrência de violação ao art. 900 da CLT. - Quanto ao mérito também não conheço. Proc. TST-RR-2.812/79, Julgado em 20-05-1980 Arquivo do Ementário Forense, TST/1153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Válida a notificação entregue no endereço fornecido pela parte, embora recebida por pessoa supostamente desconhecida.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2026-10-16T16:11:06.288Z</dcterms:created>
  <dcterms:modified xsi:type="dcterms:W3CDTF">2026-10-16T16:11:06.289Z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