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22/06/1980</w:t>
      </w:r>
    </w:p>
    <w:p/>
    <w:p>
      <w:r>
        <w:t xml:space="preserve">INTERVALO A ELE DESTINADO — TRABALHO - HORAS EXTRAORDINÁRIAS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pretensão dos Recorridos é de receber, em dobro, horas correspondentes ao intervalo entre jornadas e que segundo eles, teriam sido trabalhadas. - Ante o exposto, ressalvado o meu ponto-de-vista, submetendo-me à jurisprudência dominante, DOU PARCIAL PROVIMENTO ao recurso, para assegurar, apenas o pagamento como extras, das horas efetivamente trabalhadas, com o adicional legal. Proc. TST-RR-3.031/79, Julgado em 23-06-1980 VENCIDO O MINISTRO FIRMINO BIMBI Arquivo do Ementário Forense, TST/1048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caso de trabalho de portuários, no intervalo destinado ao repouso semanal, admissível o direito do empregado ao pagamento das horas efetivamente trabalhadas, como extras, acrescidas ao adicional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2026-10-16T17:23:45.295Z</dcterms:created>
  <dcterms:modified xsi:type="dcterms:W3CDTF">2026-10-16T17:23:45.295Z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