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22/06/1980</w:t>
      </w:r>
    </w:p>
    <w:p/>
    <w:p>
      <w:r>
        <w:t xml:space="preserve">INTERVALO A ELE DESTINADO — TRABALHO - HORAS EXTRAORDINÁRIAS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pretensão dos Recorridos é de receber, em dobro, horas correspondentes ao intervalo entre jornadas e que segundo eles, teriam sido trabalhadas. - Ante o exposto, ressalvado o meu ponto-de-vista, submetendo-me à jurisprudência dominante, DOU PARCIAL PROVIMENTO ao recurso, para assegurar, apenas o pagamento como extras, das horas efetivamente trabalhadas, com o adicional legal. Proc. TST-RR-3.031/79, Julgado em 23-06-1980 VENCIDO O MINISTRO FIRMINO BIMBI Arquivo do Ementário Forense, TST/1048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trabalho de portuários, no intervalo destinado ao repouso semanal, admissível o direito do empregado ao pagamento das horas efetivamente trabalhadas, como extras, acrescidas ao adicional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2026-07-28T03:47:39.867Z</dcterms:created>
  <dcterms:modified xsi:type="dcterms:W3CDTF">2026-07-28T03:47:39.867Z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