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26/03/1980</w:t>
      </w:r>
    </w:p>
    <w:p/>
    <w:p>
      <w:r>
        <w:t xml:space="preserve">INTERVALO MÍNIMO DE ONZE HORAS — COINCIDÊNCIA - SUPRESSÃO DO INTERVALO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empresa sustenta em seu apelo, que a matéria relativa ao desrespeito de intervalo entre jornada acarreta a sanção administrativa, apontando a Súmula nº 88 (*), que não é aplicável, entretanto, a este caso específico, uma vez que inerente ao art. 71 da CLT. - Havendo coincidência entre o repouso semanal e o descanso de onze horas entre duas jornadas de trabalho, "in casu", a empresa absorve o primeiro pelo segundo, pretendendo os autores que essas horas trabalhadas entre uma jornada e outra sejam pagas em dobro. - Em parte cabe-lhes razões, vez que trabalharam tais horas, sendo diferente, como já dito, o caso da hipótese ao descanso dentro da jornada, devendo ser assegurado, contudo, o pagamento dessas horas trabalhadas em decorrência da absorção no repouso, tão somente, como horas extraordinárias, como deferido pala MM. Junta. - Atendendo a jurisprudência do TST que tem se inclinado pelo pagamento, como extraordinárias, de tais horas, com o "plus" legal, mas não em dobro, dou provimento em parte, para restabelecer a sentença de 1º grau. Proc. TST-RR-2.665/79, Julgado em 27-03-1980 VOTO VENCIDO DO MINISTRO REZENDE PUECH (revisor). - ... "In casu", os empregados portuários, quando da passagem do um turno a outro, no sistema de revezamento a que estão obrigados, não usufruíram das 35 horas que seriam a soma do descanso entre jornada e do descanso semanal remunerado. Não há, com a devida "vênia", das opiniões contrárias, como se aceitar a tese da absorção de um período por outro, pois estar-se-ia negando ao empregado o direito de descanso absorvido, direito este previsto em lei . - Em não se acatando a tese da absorção temos que parte de um dos descansos é subtraído dos empregados. Pela lógica, o primeiro deles a ser gozado seria o do intervalo entre jornadas, que é o seqüente ao dia de trabalho. - Logo, voltando os empregados aos serviços antes de concluído o período do descanso hebdomadário, devem as horas trabalhadas, referentes a ele, ser pagas em dobro conforme expressas disposições de lei. Arquivo do Ementário Forense. TST/1158 (*) "O desrespeito ao intervalo mínimo entre dois turnos de trabalho, sem importar em excesso na jornada efetivamente trabalhada, não dá direito a qualquer ressarcimento ao obreiro, por tratar-se apenas de infração sujeita a penalidade administrativa. (art. 71 da CLT)" ("EMENTÁRIO FORENSE", 370, t. HORÁRIO DE TRABALHO, st. REFEIÇÕES).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descanso semanal de 24 horas é de ser somado o intervalo de 11 horas, que a lei manda intercalar entre as duas jornadas de trabalho, porém se suprimidas ou absorvidas tais horas, devem ser pagas como extraordinárias, atendendo a jurisprudência do TST que tem se inclinado neste sentido.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2026-07-28T01:36:31.707Z</dcterms:created>
  <dcterms:modified xsi:type="dcterms:W3CDTF">2026-07-28T01:36:31.707Z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