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19/11/1980</w:t>
      </w:r>
    </w:p>
    <w:p/>
    <w:p>
      <w:r>
        <w:t xml:space="preserve">CARGO DE CONFIANÇA — RETORNO À FUNÇÃO EFETIVA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 esteve o autor, por 11 anos, comissionado, com carga horária de 6 horas. Não aceitando condição da reclamada de passar a trabalhar por 8 horas foi destituído do cargo, sem direito a gratificação que percebia. - A gratificação era vinculada ao comissionamento, em cargo de confiança reconhecido pelo próprio autor e, em que pese o argumento de que por vários anos, impondo-se a volta ao cargo efetivo, não há como pretender que a gratificação integre ao salário ou importe em redução salarial a perda da comissão que, na verdade é transitória. - Acolho os embargos para restabelecer a sentença de 1º grau que julgou improcedente a reclamação. Proc TST-E-RR-5.154/76, Julgado em 20-11-1980 VENCIDO O MINISTRO HILDEBRANDO BISAGLIA Arquivo do Ementário Forense, TST/1263 N. da T,: V. Também o t. CARGO EM COMISSÃO, st. RETORNO AO CARGO EFETIVO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empregado exerça cargo de confiança por longos anos, o retorno à função efetiva, anterior, não constitui alteração contratual e é admissível a perda da comissão que se considera transitória.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2026-10-16T17:21:16.829Z</dcterms:created>
  <dcterms:modified xsi:type="dcterms:W3CDTF">2026-10-16T17:21:16.830Z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