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REGIMENTO INTERNO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19/11/1980</w:t>
      </w:r>
    </w:p>
    <w:p/>
    <w:p>
      <w:r>
        <w:t xml:space="preserve">CARGO DE CONFIANÇA — RETORNO À FUNÇÃO EFETIVA - DESCARACTERIZAÇÃO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Na verdade esteve o autor, por 11 anos, comissionado, com carga horária de 6 horas. Não aceitando condição da reclamada de passar a trabalhar por 8 horas foi destituído do cargo, sem direito a gratificação que percebia. - A gratificação era vinculada ao comissionamento, em cargo de confiança reconhecido pelo próprio autor e, em que pese o argumento de que por vários anos, impondo-se a volta ao cargo efetivo, não há como pretender que a gratificação integre ao salário ou importe em redução salarial a perda da comissão que, na verdade é transitória. - Acolho os embargos para restabelecer a sentença de 1º grau que julgou improcedente a reclamação. Proc TST-E-RR-5.154/76, Julgado em 20-11-1980 VENCIDO O MINISTRO HILDEBRANDO BISAGLIA Arquivo do Ementário Forense, TST/1263 N. da T,: V. Também o t. CARGO EM COMISSÃO, st. RETORNO AO CARGO EFETIVO EMFOR 390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Ainda que o empregado exerça cargo de confiança por longos anos, o retorno à função efetiva, anterior, não constitui alteração contratual e é admissível a perda da comissão que se considera transitória.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2026-07-28T01:34:53.723Z</dcterms:created>
  <dcterms:modified xsi:type="dcterms:W3CDTF">2026-07-28T01:34:53.723Z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