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NULIDADE DE AJUSTE DE COMPENSAÇÃO</w:t>
      </w:r>
    </w:p>
    <w:p/>
    <w:p/>
    <w:p>
      <w:r>
        <w:t xml:space="preserve">SEGURO-DESEMPREGO — OMISSÃO DO EMPREGADOR - INDENIZAÇÃO DECORRENTE - COMPETÊNCIA DA JUSTIÇA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SEGURO-DESEMPREGO. OMISSÃO DO EMPREGADOR. INDENIZAÇÃO DECORRENTE. COMPETÊNCIA DA JUSTIÇA DO TRABALHO. Tratando-se de um direito do trabalhador assegurado pela Lei Maior, em seu art. 7º, inciso II, deve o empregador responder pelas conseqüências de sua omissão, pagando ao empregado a indenização decorrente. Nesse caso, irretorquível a competência da Justiça do Trabalho. Recurso provido parcialmente. Vistos, etc. Recurso Ordinário apresentado pela CONPAR-PRODUTOS MARINHOS S/A contra a decisão proferida pela 6ª Junta de Conciliação e Julgamento de João Pessoa-PB que, por unanimidade, julgou procedente, em parte, a reclamação trabalhista movida por EDNA MARTA BASÍLIO NUNES, condenando a ora recorrente a pagar-lhe os seguintes títulos: aviso prévio; 13º salário (6/12); férias proporcionais (6/12) + 1/3; FGTS + 40%; multa do artigo 477, da CLT; diferença salarial para o mínimo legal; horas extras com adicional de 50%, calculadas a partir da jornada média encontrada, conforme diretrizes da fundamentação; anotação na CTPS da reclamante (15.01.98 a 29.09.98) e fornecimento das guias para viabilizar o requerimento do seguro-desemprego. Embargos Declaratórios opostos pela reclamada às fls. 42/43, conhecidos através da decisão de fls. 45 e acolhidos, para declarar que as verbas foram deferidas com base no período confessado no depoimento pessoal da autora (06 meses - 13.04.98 a 20.10.98). Através das razões recursais de fls. 48/51, pede a empresa reforma da decisão, alegando que a mesma apresentou-se contraditória no tocante à anotação na CTPS da autora, no período de 15.01.98 a 29.09.98, haja vista que esta, em seu depoimento pessoal, declinou haver trabalhado de 13.04.98 a 20.10.98. Sustenta que a referida decisão primária é "extra petita", por deferir diferença salarial tendo como parâmetro o mínimo legal, quando, na inicial, consta o aludido pedido, porém, com base na remuneração percebida, ou seja, R$ 25,00 a R$ 30,00. Insurge-se, ainda, c ontra a multa prevista no artigo 477, § 8º, da CLT, ante a ausência de fundamentação para seu deferimento, bem como, quanto ao fornecimento das guias do seguro-desemprego, em face da incompetência dessa Justiça Obreira para apreciação de tal matéria. Custas e depósito recursal às fls. 52/53. Contra-razões apresentadas às fls. 57/59. Parecer de vista do Ministério Público do Trabalho às fls. 63. É o relatório. V O T O Recebo o recurso, eis que preenchidos os pressupostos legais de admissibilidade recursal. Insurge-se a reclamada contra o sentenciado primário, alegando que o mesmo mostrou-se contraditório no tocante à anotação na CTPS da obreira, no período de 15.01.98 a 29.09.98, posto que esta, em seu depoimento pessoal, confessou a prestação laboral, de 13.04.98 a 20.10.98. Constata-se, inicialmente, que o tempo de serviço já foi retificado através da decisão de fls. 45, que, acolhendo os Embargos Declaratórios, considerou apenas o período declinado pela autora, ou seja, de 13.04.98 a 20.10.98. Incabível a pretensão recursal quanto à existência de julgamento "extra petita", em razão do deferimento de diferença salarial com fulcro no mínimo legal, sob o argumento de não constar tal pedido nos pleitos da recorrida. A contraprestação salarial à base do mínimo legal, é imposição constitucional (artigo 7º, inciso IV, da Constituição Federal). Ademais, observa-se às fls. 03, que a reclamante não postulou seus pleitos tendo como parâmetro o salário que lhe era pago, mas sim, com base em remuneração superior, à qual entende fazer jus. A sentença revisanda, corretamente, restringiu esse valor remuneratório ao salário mínimo, base para o cálculo da diferença salarial a ser apurada. Todavia, impõe-se fixar uma média salarial percebida pelo autor, com o fito de encontrar-se a diferença salarial, para facilitar a liquidação. Assim, considerando os termos do pedido, cumpre estipular a remuneração média, quinzenal, da reclamante, em R$ 27,50. Assevera a recorrente que a multa prevista no artigo 477, § 8º, da CLT, é inaplicável, "in casu", eis que devida só em caso de atraso e não de ausência de pagamento. Sem qualquer fundamento jurídico a tese da recorrente. O § 8º, do artigo 477, da Consolidação das Leis do Trabalho, deixa claro que a inobservância do disposto no § 6º, do referido artigo, enseja a aplicabilidade da multa em comento. Como a reclamada não promoveu a rescisão contratual do seu empregado, perfeitamente cabível a multa aplicada pelo Colegiado "a quo". Finalmente, rebela-se a reco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2026-10-16T16:26:54.906Z</dcterms:created>
  <dcterms:modified xsi:type="dcterms:W3CDTF">2026-10-16T16:26:54.906Z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