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MS -172.528/95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16/11/1997</w:t>
      </w:r>
    </w:p>
    <w:p/>
    <w:p>
      <w:r>
        <w:t xml:space="preserve">JUSTA CAUSA — ALCOOLISMO - DOENÇA - RECONHECIMENTO PELA ORGANIZAÇÃO MUNDIAL DA SAÚDE - OMS - CONCEITO DE ALCOOLISMO - ART 484, "F"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 da reclamada. Alcoolismo. Justa causa. Não se pode convalidar como inteiramente justa a despedida do empregado que havia trabalhado anos na empresa sem cometer a menor falta, só pelo fato de ele ter sido acometido pela doença do alcoolismo, ainda mais quando da leitura da decisão regional não se extrai que o autor tenha alguma vez comparecido embriagado no serviço. A matéria deveria ser tratada com maior cuidado científico, de modo que as empresas não demitissem o empregado doente, mas sim tentasse recuperá-lo, tendo em vista que para uma doença é necessário tratamento adequado e não punição. Revista parcialmente conhecida e parcialmente provida. Recurso do reclamante seguro-desemprego. A C. SDI, já consubstanciou o entendimento, mediante a Orientação Jurisprudencial 211, de que «o não-fornecimento pelo empregador da guia necessária para o recebimento do seguro-desemprego dá origem ao direito à indenização». Revista parcialmente conhecida e provida. Rec. de Rev. 383.922/97 - Rel.: Min. Vantuil Abdala - Rectes.: Expresso Princesa dos Campos S/A e Alino Model - Recdos.: Os mesmos - J. em 04/04/2001 - DJ 14/05/2001 - 2ª T. - TST. Vistos, relatados e discutidos estes autos de Recurso de Revista TST-RR-383.922/97.1, em que são Recorrentes EXPRESSO PRINCESA DOS CAMPOS S/A e ALINO MODEL e Recorridos OS MESMOS. RELATÓRIO O Eg. TRT da 9ª Região, em acórdão de fls. 691/713, negou provimento ao recurso ordinário da empresa, ao fundamento de que a ruptura do vínculo por justa causa foi arbitrária, tendo em vista que o alcoolismo é uma doença, e, como tal, deve ser tratada. Quanto aos descontos previdenciários e fiscais, entendeu que não deve ser determinado qualquer desconto diante da incompetência material da Justiça do Trabalho para julgar a matéria. No concernente à pretensão de pagamento apenas do adicional de horas extras, aduziu que só tem cabimento nos casos em que a compensação foi rigorosamente observada, f altando apenas o preenchimento dos requisitos legais, não sendo este o caso dos autos, onde inocorreu qualquer compensação. Com relação à condenação em indenização do seguro-desemprego, deu provimento ao recurso patronal, consignando que o fato de a reclamada não ter expedido a Comunicação de Dispensa não importou em automático prejuízo ao reclamante. No que tange à correção monetária, assentou que o débito deve ser atualizado com a utilização do índice de correção do mês subseqüente ao vencido. A reclamada opôs embargos de declaração ás fls. 715/717, os quais foram rejeitados às fls. 720/722. Inconformada, a demandada interpõe recurso de revista com fulcro nas alíneas «a» e «c» do art. 896 da CLT, às fls. 725/731. Insurge-se contra a decisão regional referente à justa causa, ao adicional de horas extras e aos descontos previdenciários e fiscais. O recurso foi admitido pelo despacho de fls. 733. O reclamante apresenta contra-razões às fls. 740/745, e, às fls. 746/749, interpõe recurso de revista adesivo, insurgindo-se contra a decisão regional referente à época própria da correção monetária e ao seguro-desemprego. Os autos deixaram de ser remetidos à Douta Procuradoria-Geral do Trabalho, nos termos da Resolução Administrativa 322/96 desta Corte. É o relatório. VOTO I - RECURSO DE REVISTA DA RECLAMADA 1 - JUSTA CAUSA - ALCOOLISMO a) Conhecimento O v. acórdão regional manteve o entendimento da sentença com relação à justa causa, consignando em sua fundamentação, «verbis»: «A embriaguez habitual foi listada como falta grave ao tempo em que era considerado um simples vício que impedia o trabalho, tornava a pessoa violenta ou que levava à vadiagem. Entretanto, a partir da constatação científica de que a embriaguez é uma doença, a aplicação do dispositivo celetário para autorizar a rescisão contratual por justa causa, não atende os fins sociais da disciplina legal das justas causas e muito menos ao bem comum. É evidente que não se advoga aqui a m anutenção do portador da doença na sua função, mormente quando se constata que o autor era motorista de transporte coletivo de passageiros. É, sem dúvida, merecedor de elogios o senso de responsabilidade da reclamada de promover o permanente acompanhamento dos motoristas, prevenindo-os sobre as conseqüências desastrosas que advém da ingestão de bebidas alcoólicas nas funções que desempenham. No entanto, faltou à reclamada «data venia», a sensibilidade necessária para perceber que não se estava ali diante de um empregado relapso, indolente ou desonesto,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2026-07-28T06:19:44.533Z</dcterms:created>
  <dcterms:modified xsi:type="dcterms:W3CDTF">2026-07-28T06:19:44.533Z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