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RE 192.568-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PAULO ROBERTO DE FREITAS</w:t>
      </w:r>
    </w:p>
    <w:p/>
    <w:p>
      <w:r>
        <w:t xml:space="preserve">CLASSIFICAÇÃO DO CANDIDATO DENTRO DO NÚMERO DE VAGAS — NOMEAÇÃO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é de ser repelida a preliminar, argüida pela impetrante, no que diz respeito a pretender distribuição para o Segundo Grupo de Câmaras Cíveis por existência de conexão com o processo nº 95.00400771, sejam porque anexadas não foram peças desse feito, ficando-se sem saber a respeito da conexão; seja porque, como salientado pelo Eminente Dr. Procurador: "não se trata de identidade de objeto, já que as vagas são distintas e a afinidade de questões podem permitir litisconsórcio facultativo que não justifica modificação da competência por conexão". - No que concerne à decadência, também razão não assiste a impetrada porque dispõe o art. 18, da Lei nº 1.533/51 que: "O direito de requerer mandado de segurança extinguir-se-á decorridos cento e oitenta dias contados da ciência pelo interessado do ato impugnado". No caso, não ocorreu ato negando a nomeação da impetrante e, em assim sendo, se ilegalidade há na omissão, esta se renova de maneira continuada enquanto não esgotado o período de validade do concurso, ainda como mais uma vez salientado pelo representante do "parquet". - Rejeitam-se, assim, as preliminares postas. - Quanto ao mérito, é de ver-se que o art. 77, inciso VII, da Constituição do Estado do Rio de Janeiro, que praticamente repete o art. 37 da Carta Constitucional pátria, estabelece princípios de ordem legal, impessoal, moral, de publicidade e de interesse coletivo, de onde há que se destacar a criação, verdadeiramente da aquisição de um direito, não apenas me ra expectativa à nomeação. - O "thema decidendum" oferece-nos a hipótese no sentido de que o edital do concurso ao qual a autora se submeteu fixou 20 (vinte) vagas para o cargo de Fiscal de Posturas e a impetrante classificou-se em 14º lugar. - O "mandamus" foi ajuizado decorridos 06 (seis) meses da data em que homologado foi o resultado ( fls. 11); assiste-lhe assim direito de ser provida no cargo que disputou, obviamente desde que preencha os requisitos que foram exigidos. - Não há que se falar, por outro lado, em inconstitucionalidade do art. 77 da Carta Estadual, pois, por reiteradas vezes (três), o Egrégio Órgão Especial deste Tribunal rejeitou arguição de inconstitucionalidade do referido artigo, sendo, por outro lado, de se aplicar o disposto no "caput" do art. 104 do Regimento Interno deste Tribunal: "Art. 104 - A decisão que declarar a inconstitucionalidade ou rejeitar a arguição, se for proferida por 17 (dezessete) ou mais votos, ou reiterada em mais de duas Sessões, será de aplicação obrigatória para todos os órgãos do Tribunal". - Oportuno é trazer-se à colação acórdão a respeito, o de nº 12/93, Rel. Des. PAULO ROBERTO DE FREITAS, ac. reg. em 06.01.95, "in verbis": "Candidato aprovado em concurso público. Direito à nomeação consagrado no art. 77, VII da Carta Magna Estadual. Constitucionalidade desse mandamento afirmado pelo Órgão Especial do TJRJ por três vezes consecutivas. Obrigatoriedade de sua observância a todos os órgãos do Tribunal (R.I., art. 104). A arguição só poderia ser renovada por motivo relevante, reconhecido pela maioria dos membros dos órgãos arguente". - A impetrante inscreveu-se em concurso regularmente publicado para cargo especificamente definido, assim como definido, assim como definido foi o número de vagas, logrou aprovação e não foi nomeada. - Evidencia-se a violência ao art. 37, "caput" e aos incisos III e IV, da Carta Cidadã de 1988, assim como a de igual importância na hierarquia do Estado-membro e, nesse sentido, é de ver-se que tal direito restou consagrado no colendo Supremo Tribunal Federal no RE nº 192.568-PI, publicado no Informativo STF, Relator o Insigne Ministro MARCO AURÉLIO que, conhecendo do recurso, em caso semelhante mais importante do que a Ementa, merece destaque o fundamento que consigna que: "A hipótese vertente não pode ficar na vala comum da jurisprudência engessada, na máxima de que os concursados têm simples expectativa e não direito à nomeação". - Negar-se à impetrante esse direito seria prestigiar-se verdadeiro arbítrio da Administração Pública, fato que lhe desgasta a autoridade e enseja o desrespeito como instituição. - A inércia intencional, ou não, da Administração, deixando de prover cargo existente leva à convicção sobre a titularidade do Direito Subjetivo de ser nomeado, como destacou em seu voto o Eminente Ministro no Acórdão trazido a colação. - Por tais razões, e mais aquelas constantes do Parecer do Eminente Representante do Ministério Público que passam a integrar 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Evidencia-se violência ao art. 77 da Constituição do Estado do Rio de Janeiro e ao art. 37, "caput" e incisos III e IV da Carta Federal, Carta Cidadã, a não nomeação de candidato concursado, aprovado e classificado em Concurso Público regularmente realizado. A hipótese não pode ficar na vala comum de jurisprudência engessada no sentido de que os concursados tem simples expectativa e não direito à nomeação.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2026-07-28T06:34:21.116Z</dcterms:created>
  <dcterms:modified xsi:type="dcterms:W3CDTF">2026-07-28T06:34:21.116Z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