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11/05/1980</w:t>
      </w:r>
    </w:p>
    <w:p/>
    <w:p>
      <w:r>
        <w:t xml:space="preserve">ELEVAÇÃO POR SENTENÇA NORMATIVA — HORÁRIO AUMENTADO PARA OITO HORAS - 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rescisória foi proposta sob o fundamento de violação do art. 468, da CLT. Pretende a recorrente que houve prejuízo. - Alega que vinha trabalhando, desde 01-08-68 na jornada de 12 às 18 horas. A determinação do réu, passando a recorrente para a jornada de oito horas, prejudicou inclusive, o exercício do magistério, pela manhã. - A circunstância de exercer a recorrente outra atividade baseada no horário normal dos bancários é questão não debatida no acórdão rescindendo. - A recorrente ao tempo em que percebia gratificação inferior a um terço fora enquadrada na jorna de seis horas. Passando a receber a gratificação de 40% por força de sentença normativa, pelo exercício da função de chefia, viu se o empregador com direito de fazer observar a jornada de oito horas. - Não há violação do art. 468, da CLT. - Nego provimento. Proc. TST-RO-AR-459/79, Julgado em 12-05-1980 Arquivo do Ementário Forense, TST/1133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por força de sentença normativa elevada a gratificação de função para 40%, não há violação do art. 468, da CLT, em exigir o empregador a duração normal do trabalho da recorrente em oito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2026-10-16T17:23:35.129Z</dcterms:created>
  <dcterms:modified xsi:type="dcterms:W3CDTF">2026-10-16T17:23:35.129Z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