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6.204 DE 29-04-1975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14/09/1980</w:t>
      </w:r>
    </w:p>
    <w:p/>
    <w:p>
      <w:r>
        <w:t xml:space="preserve">INTERVALO MÍNIMO DE ONZE HORAS — ABSORÇÃO DESTAS POR AQUELE -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intervalo de onze horas entre duas jornadas é de todo independente do repouso semanal de vinte e quatro horas consecutivas ou do repouso em dias feriados civis e religiosos. - Não é possível - nos serviços em rodízio - a absorção de um descanso legal pelo outro. - Há mais de trinta anos em primeira mão, como juiz de primeira instância decidi desse forma e parece-me não apenas surpreendente, mas chocante e injusto, que, ainda hoje, apesar da torrencial jurisprudência a propósito do tema, empresários utilizem aquele lamentável expediente e que, além disso, algumas vezes obtenham ganho de causa perante a Justiça do Trabalho, mesmo quando, como no caso, foi relator do feito, na instância inferior, um juiz dos mais experimentados da 4ª região, o ilustre magistrado PERY SARAIVA. - Na forma dos reiterados julgamentos deste Tribunal Superior, dou provimento à revista para que seja pago o adicional relativo às horas do repouso "inter-jornadas" que se tornaram extraordinárias, sem prejuízo do repouso remunerado de vinte e quatro horas consecutivas, tudo na forma que se venha a apurar em liquidação de sentença, tendo em vista as horas efetivamente trabalhadas. Proc. TST-RR-5.230/78, Julgado em 15-09-1980 Arquivo do Ementário Forense, TST/1207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repouso semanal ou em feriados, que é de vinte e quatro horas consecutivas, não prejudica o intervalo de onze horas ininterruptas entre duas jornadas de trabalho. Quando pela escala de revezamento da empresa isso ocorre, as onze horas do intervalo "inter-jornadas" serão pagas como extraordinárias, sem prejuízo do repouso em domingos e feriados, na forma que seja apurada em liquidação de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2026-10-16T16:11:16.399Z</dcterms:created>
  <dcterms:modified xsi:type="dcterms:W3CDTF">2026-10-16T16:11:16.399Z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