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24/08/1980</w:t>
      </w:r>
    </w:p>
    <w:p/>
    <w:p>
      <w:r>
        <w:t xml:space="preserve">QUANDO SE LEGITIMA O ZELADOR DO EDIFÍCIO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MM. JCJ entendeu que por ter o condomínio sua representação em juízo regulada por norma específica, somente o síndico ou o administrador podem representá-lo, pelo que, o zelador que compareceu em juízo pretendendo representar o condomínio e não do síndico, somente através de assembléia o condomínio poderia conferir-lhe a representação prevista na CLT, restando patente a revelia. - O v. acórdão regional, por sua vez, concluiu que não há se falar em revelia "in casu", porque o condomínio devidamente citado se fez representar pelo zelador, que compareceu a audiência munido de carta de preposição e contestação escrita, ressaltando que quando muito seria representação irregular, mas válida para produzir efeitos processuais. - Não vislumbro como violados os artigos de lei citados (inciso IX d art. 12 do Código de Processo Civil e 843 da Consolidação das Leis de Trabalho), ante a fundamentação supra, ressaltando que não foram indicados arestos à divergência. - Não conheço. Proc. TST-RR-3.627/79, Julgado em 25-08-1980 Arquivo do Ementário Forense, TST/1224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se falar em revelia, quando o condomínio devidamente citado se fez representar pelo zelador, que compareceu à audiência munido de carta de preposição e contestação escrita.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2026-10-16T16:19:07.028Z</dcterms:created>
  <dcterms:modified xsi:type="dcterms:W3CDTF">2026-10-16T16:19:07.028Z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