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17/11/1980</w:t>
      </w:r>
    </w:p>
    <w:p/>
    <w:p>
      <w:r>
        <w:t xml:space="preserve">PAGAMENTO POR QUILÔMETRO E BANDEIRADA — DIREITO A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 o reclamante perceber por quilômetro rodado e "bandeirada" não elimina o direito ao pagamento das horas extras. A situação é análoga à dos balconistas que percebem comissão. O trabalho efetuado após a jornada normal já está pago. Mas não o adicional, que incidirá sobre a parcela variável percebida na jornada prorrogada. - Dou provimento para acrescer à condenação o pagamento do adicional de trabalho extraordinário, de 25%, a se apurar em execução, como consta da fundamentação. Proc. TST-RR-1.181/80, Julgado em 18-11-1980 Arquivo do Ementário Forense, TST/1246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por quilômetro rodado e "bandeirada" feito ao motorista de táxi não exclui o direito a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2026-07-28T01:38:47.680Z</dcterms:created>
  <dcterms:modified xsi:type="dcterms:W3CDTF">2026-07-28T01:38:47.680Z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