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17/11/1980</w:t>
      </w:r>
    </w:p>
    <w:p/>
    <w:p>
      <w:r>
        <w:t xml:space="preserve">PAGAMENTO POR QUILÔMETRO E BANDEIRADA — DIREITO A HORAS EXTRAS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fato de o reclamante perceber por quilômetro rodado e "bandeirada" não elimina o direito ao pagamento das horas extras. A situação é análoga à dos balconistas que percebem comissão. O trabalho efetuado após a jornada normal já está pago. Mas não o adicional, que incidirá sobre a parcela variável percebida na jornada prorrogada. - Dou provimento para acrescer à condenação o pagamento do adicional de trabalho extraordinário, de 25%, a se apurar em execução, como consta da fundamentação. Proc. TST-RR-1.181/80, Julgado em 18-11-1980 Arquivo do Ementário Forense, TST/1246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por quilômetro rodado e "bandeirada" feito ao motorista de táxi não exclui o direito a horas extras.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2026-10-16T16:16:34.996Z</dcterms:created>
  <dcterms:modified xsi:type="dcterms:W3CDTF">2026-10-16T16:16:34.996Z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