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02/05/1979</w:t>
      </w:r>
    </w:p>
    <w:p/>
    <w:p>
      <w:r>
        <w:t xml:space="preserve">SUA NATUREZA SALARIAL — COMO SE INTEGRA NA REMUNERAÇÃO DO TRABALHADOR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Ponto substancial do questionado é saber-se ou caracterizar-se a natureza da participação nos lucros. Condicionando-a ao requisito essencial da habitualidade, reconhecida na hipótese, tenho para mim que o benefício em foco reveste-se de natureza salarial ou remunerativa, incorporando-se, pois, aos salários do trabalhador. É evidente que por se tratar de um acréscimo contratual, que sobrevive "si et in quantum" o balanço do empregador apresentar resultado positivo, poderá o benefício, malgrado a natureza ora reconhecida, ser suprimido, desde que a causa que lhe dê origem (lucros) deixe de existir. Entretanto, enquanto existente, produz a obrigatoriedade patronal de dar a participação, computando-a no salário para cálculo de outro títulos, de origem legal. - Portanto, correto o julgado impugnado quando determinou, confirmando o decisório de primeiro grau, o pagamento de diferença da verba indenizatória como resultado da incorporação da participação nos lucros no salário. - Isto posto, conheço da revista, mas nego-lhe provimento, para confirmar o v. acórdão recorrido. Proc. TST-RR-5.337/78, Julgado em 03-05-1979 Arquivo do Ementário Forense, TST/1236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vantagem contratual denominada participação nos lucros, dês que habitual e enquanto paga, reveste-se de natureza salarial, integrando-se, como tal, no salário do trabalhador para efeito de cálculo de outros títulos.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2026-07-28T01:52:37.895Z</dcterms:created>
  <dcterms:modified xsi:type="dcterms:W3CDTF">2026-07-28T01:52:37.895Z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