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10/11/1980</w:t>
      </w:r>
    </w:p>
    <w:p/>
    <w:p>
      <w:r>
        <w:t xml:space="preserve">QUANDO AUTORIZA A RESCISÃO DO CONTRATO</w:t>
      </w:r>
    </w:p>
    <w:p/>
    <w:p>
      <w:pPr>
        <w:pStyle w:val="Heading2"/>
      </w:pPr>
      <w:r>
        <w:rPr>
          <w:b/>
          <w:bCs/>
        </w:rPr>
        <w:t xml:space="preserve">Resumo</w:t>
      </w:r>
    </w:p>
    <w:p>
      <w:r>
        <w:t xml:space="preserve">- ... A mora salarial, de modo reiterado, como fato objetivo, admite a rescisão indireta do contrato de trabalho na forma do art. 483, alínea "d" da CLT, que não abre ao julgador campo de subjetividade na apreciação da culpa do empregador, nem mesmo considerações subjacentes à prova dos autos. - Assim dou provimento ao recurso para restabelecer a sentença, que julgou procedente a reclamação, nos termos da inicial. Proc. TST-RR-4.537/79, Julgado em 11-11-1980 Arquivo do Ementário Forense, TST/1244 EMFOR 389</w:t>
      </w:r>
    </w:p>
    <w:p/>
    <w:p>
      <w:pPr>
        <w:pStyle w:val="Heading2"/>
      </w:pPr>
      <w:r>
        <w:rPr>
          <w:b/>
          <w:bCs/>
        </w:rPr>
        <w:t xml:space="preserve">Ementa</w:t>
      </w:r>
    </w:p>
    <w:p>
      <w:r>
        <w:t xml:space="preserve">A mora salarial, como fato objetivo, autoriza a rescisão indireta do contrato de trabalho, a teor do art. 483 alínea "d"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2026-07-28T01:58:16.875Z</dcterms:created>
  <dcterms:modified xsi:type="dcterms:W3CDTF">2026-07-28T01:58:16.875Z</dcterms:modified>
</cp:coreProperties>
</file>

<file path=docProps/custom.xml><?xml version="1.0" encoding="utf-8"?>
<Properties xmlns="http://schemas.openxmlformats.org/officeDocument/2006/custom-properties" xmlns:vt="http://schemas.openxmlformats.org/officeDocument/2006/docPropsVTypes"/>
</file>