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19/04/1979</w:t>
      </w:r>
    </w:p>
    <w:p/>
    <w:p>
      <w:r>
        <w:t xml:space="preserve">PERMANÊNCIA FORA DE SEDE POR MAIS DE NOVENTA DIAS — QUANDO SE EQUIPARA À DEFINITIVA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Egrégia Turma conheceu, por divergência, quanto as diárias e horas de trânsito, confirmando o acórdão regional, neste ponto. Todavia, repeliu a pretensão do empregado quanto a ajuda de custo. - Nos embargos, o empregado demonstrou entendimento jurisprudencial favorável ao pedido, porque o regulamento dos ferroviários equipara a transferência definitiva a que durar mais de noventa dias. No caso, o empregado passou mais de noventa dias fora da Sede, sendo que o regulamento, norma mais benéfica, supera a lei, pelo princípio da inversão da hierarquia das fontes no Direito do Trabalho. - Acolho os embargos para acrescentar à condenação a ajuda de custo. Proc. TST-E-RR-2.796/76, Julgado em 20-04-1979 VENCIDOS OS MINISTROS FERNANDO FRANCO, NELSON TAPAJÓS, HILDEBRANDO BISAGLIA e JUIZ ROBERTO MÁRIO. Arquivo do Ementário Forense, TST/1105 EMENTÁRIO FORENSE. Outubro, 1980. Ano XXXII. Nº 383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de direito mais benéfica aplica-se de preferência à lei, porque mais benéfica, invertendo-se, por isso, o princípio da hierarquia das fontes em Direito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2026-07-28T01:32:29.734Z</dcterms:created>
  <dcterms:modified xsi:type="dcterms:W3CDTF">2026-07-28T01:32:29.734Z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