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19/04/1979</w:t>
      </w:r>
    </w:p>
    <w:p/>
    <w:p>
      <w:r>
        <w:t xml:space="preserve">PERMANÊNCIA FORA DE SEDE POR MAIS DE NOVENTA DIAS — QUANDO SE EQUIPARA À DEFINITIVA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Egrégia Turma conheceu, por divergência, quanto as diárias e horas de trânsito, confirmando o acórdão regional, neste ponto. Todavia, repeliu a pretensão do empregado quanto a ajuda de custo. - Nos embargos, o empregado demonstrou entendimento jurisprudencial favorável ao pedido, porque o regulamento dos ferroviários equipara a transferência definitiva a que durar mais de noventa dias. No caso, o empregado passou mais de noventa dias fora da Sede, sendo que o regulamento, norma mais benéfica, supera a lei, pelo princípio da inversão da hierarquia das fontes no Direito do Trabalho. - Acolho os embargos para acrescentar à condenação a ajuda de custo. Proc. TST-E-RR-2.796/76, Julgado em 20-04-1979 VENCIDOS OS MINISTROS FERNANDO FRANCO, NELSON TAPAJÓS, HILDEBRANDO BISAGLIA e JUIZ ROBERTO MÁRIO. Arquivo do Ementário Forense, TST/1105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de direito mais benéfica aplica-se de preferência à lei, porque mais benéfica, invertendo-se, por isso, o princípio da hierarquia das fontes em Direito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2026-10-16T17:21:06.734Z</dcterms:created>
  <dcterms:modified xsi:type="dcterms:W3CDTF">2026-10-16T17:21:06.734Z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