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REGISTRO DE IMÓVEIS</w:t>
      </w:r>
    </w:p>
    <w:p>
      <w:r>
        <w:rPr>
          <w:i/>
          <w:iCs/>
          <w:color w:val="666666"/>
        </w:rPr>
        <w:t xml:space="preserve">SENTENÇA HOMOLOGATÓRIA DE PARTILHA</w:t>
      </w:r>
    </w:p>
    <w:p/>
    <w:p/>
    <w:p>
      <w:r>
        <w:t xml:space="preserve">AUSÊNCIA — DEFERIMENTO DA GUARDA - QUANDO É POSSÍVEL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 - Em sua obra "Guarda de Filhos", MOURA BITTENCOURT assim escreve: "Os pronunciamentos judiciais sobre guarda de menores devem atender a diversos elementos e circunstâncias, que podem ser enfeixados nos seguintes pontos: o interesse da criança, as condições e o comportamento dos pretendentes à guarda e alterabilidade a qualquer tempo" (pág. 64). - Imbuído, pois, desse espírito de assim julgar, é que passo a examinar a "quaestio facti". - A apelante, dizendo-se arrependida de impensada atitude ocasionada por emoções violentas por um frustrado encontro com o genitor do menor, quer reaver o filho que entregara à guarda dos embargantes. - Mas dos autos ressai que ainda persistem os motivos que deram causa à iniciativa de entregar a criança em adoção. Sua situação financeira ainda continua precária - não tem dinheiro, não tem emprego, não tem onde morar - e o pai da criança não assume suas responsabilidades nem para lhe prestar pequena ajuda. A isso acrescente-se o que é pior: novamente grávida, deu a criança em adoção. - Ora, a pretensão da mãe do menor A. então não mostra a nobre intenção da mãe em ter de volta o filho ao seu regaço, mas um capricho inteiramente contrário ao interesse do menor, que, enjeitado, doente, sem futuro, encontrou quem é capaz de ampará-lo, de tratá-lo com afeto, de transformá-lo em pessoa humana feliz e prestante. Veja-se a sindicância procedida pelo Comissariado e Menores ... . - Com a devida vênia dos votos em sentido contrário, recebo os embargos. Ac. de 25-08-1994 VENCIDO O PRESIDENTE e RELATOR MONTEIRO DE BARROS Jurisprudência Mineira - Outubro à Dezembro de 1994 - Vol. 128 - Pág. 78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Ainda que o pedido de adoção plena tenha sido negado por ausência de consentimento materno, é possível a concessão da guarda aos pretendentes da adoção, desde que verificados os pressupostos para aquela guarda: o interesse do menor, as condições e o comportamento dos pretendentes à guarda, bem como a possibilidade de sua alteração a qualquer tempo; especialmente quando persistem os motivos que deram causa à iniciativa da mãe de entregar seu filho em adoção - situação financeira precária, falta de emprego, moradia, pai que não assume a responsabilidade etc.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2026-07-28T01:46:51.828Z</dcterms:created>
  <dcterms:modified xsi:type="dcterms:W3CDTF">2026-07-28T01:46:51.828Z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