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16/03/1980</w:t>
      </w:r>
    </w:p>
    <w:p/>
    <w:p>
      <w:r>
        <w:t xml:space="preserve">FLUÊNCIA — A PARTIR DE QUANDO SE INICIA - DATA DO CONHECIMENTO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E. Tr. Regional que "o prazo para recurso da parte que comparece à sessão de audiência em que é proferida a sentença, ainda que representada por seu advogado, conta-se da data do julgamento e não daquela em que, desnecessariamente, tenha sido intimado, por escrito, da mesma sentença. - .............................. - Não negando a reclamada a lavratura da ata na própria audiência em que proferida a sentença, de cuja ciência teve o seu advogado, a partir de quando começou a fluir o prazo para recurso e não da posterior notificação - (...) - em verdade, a destempo apresentado o recurso ordinário, como decidido. Proc. TST-RR-2.110/79, Julgado em 17-03-1980 Arquivo do Ementário Forense, TST/1110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recurso começa a fluir da data em que a parte toma conhecimento da sentença, tornando desnecessária a expedição de posterior notificação.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2026-10-16T16:05:58.969Z</dcterms:created>
  <dcterms:modified xsi:type="dcterms:W3CDTF">2026-10-16T16:05:58.969Z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