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INSALUBRIDADE</w:t>
      </w:r>
    </w:p>
    <w:p>
      <w:r>
        <w:rPr>
          <w:i/>
          <w:iCs/>
          <w:color w:val="666666"/>
        </w:rPr>
        <w:t xml:space="preserve">COMPETÊNCIA DO MINISTRO DO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16/03/1980</w:t>
      </w:r>
    </w:p>
    <w:p/>
    <w:p>
      <w:r>
        <w:t xml:space="preserve">FLUÊNCIA — A PARTIR DE QUANDO SE INICIA - DATA DO CONHECIMENTO DA SENTENÇA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Entendeu o E. Tr. Regional que "o prazo para recurso da parte que comparece à sessão de audiência em que é proferida a sentença, ainda que representada por seu advogado, conta-se da data do julgamento e não daquela em que, desnecessariamente, tenha sido intimado, por escrito, da mesma sentença. - .............................. - Não negando a reclamada a lavratura da ata na própria audiência em que proferida a sentença, de cuja ciência teve o seu advogado, a partir de quando começou a fluir o prazo para recurso e não da posterior notificação - (...) - em verdade, a destempo apresentado o recurso ordinário, como decidido. Proc. TST-RR-2.110/79, Julgado em 17-03-1980 Arquivo do Ementário Forense, TST/1110 EMENTÁRIO FORENSE. Outubro, 1980. Ano XXXII. Nº 383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prazo para recurso começa a fluir da data em que a parte toma conhecimento da sentença, tornando desnecessária a expedição de posterior notificação.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2026-07-28T01:21:42.141Z</dcterms:created>
  <dcterms:modified xsi:type="dcterms:W3CDTF">2026-07-28T01:21:42.141Z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