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12/03/1979</w:t>
      </w:r>
    </w:p>
    <w:p/>
    <w:p>
      <w:r>
        <w:t xml:space="preserve">APURAÇÃO DE FALTA GRAVE — IMPROCEDÊNCIA - DIREITOS ASSEGURADOS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o empregado foi suspenso para apuração de falta grave, e, afinal, vitorioso nas instâncias ordinárias, viu prosperar a sua reconvenção e envolvendo a rescisão contratual. Sendo estável, enquanto durou a devassa teve todos os seus direitos assegurados, porque é equiparado à situação de como se estivesse trabalhando, á disposição do empregador. Assim, as férias devem ser pagas ou indenizadas, seja pela ocorrência da rescisão contratual, seja porque o art. 492, § único da CLT, considera como de serviço todo o tempo em que o empregado esteja à disposição do empregador. Nego provimento quanto a este ponto. Proc. TST-RR-3.941/78, Julgado em 13-03-1979 Arquivo do Ementário Forense, TST/1022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suspenso para apuração de falta grave, tem todos os direitos assegurados, se inexistente a alegação, porque considera-se como de serviço, todo o tempo em que o empregado esteja a disposição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2026-07-28T03:41:44.015Z</dcterms:created>
  <dcterms:modified xsi:type="dcterms:W3CDTF">2026-07-28T03:41:44.015Z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