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12/03/1979</w:t>
      </w:r>
    </w:p>
    <w:p/>
    <w:p>
      <w:r>
        <w:t xml:space="preserve">APURAÇÃO DE FALTA GRAVE — IMPROCEDÊNCIA - DIREITOS ASSEGURADOS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o empregado foi suspenso para apuração de falta grave, e, afinal, vitorioso nas instâncias ordinárias, viu prosperar a sua reconvenção e envolvendo a rescisão contratual. Sendo estável, enquanto durou a devassa teve todos os seus direitos assegurados, porque é equiparado à situação de como se estivesse trabalhando, á disposição do empregador. Assim, as férias devem ser pagas ou indenizadas, seja pela ocorrência da rescisão contratual, seja porque o art. 492, § único da CLT, considera como de serviço todo o tempo em que o empregado esteja à disposição do empregador. Nego provimento quanto a este ponto. Proc. TST-RR-3.941/78, Julgado em 13-03-1979 Arquivo do Ementário Forense, TST/1022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suspenso para apuração de falta grave, tem todos os direitos assegurados, se inexistente a alegação, porque considera-se como de serviço, todo o tempo em que o empregado esteja a disposição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2026-10-16T17:18:58.332Z</dcterms:created>
  <dcterms:modified xsi:type="dcterms:W3CDTF">2026-10-16T17:18:58.332Z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