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Recurso: </w:t>
      </w:r>
      <w:r>
        <w:t xml:space="preserve">RE 76.700-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08/05/1978</w:t>
      </w:r>
    </w:p>
    <w:p/>
    <w:p>
      <w:r>
        <w:t xml:space="preserve">SE INCIDE SOBRE O SEU "QUANTUM"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Este Egrégio Tribunal, no RE 76.700-SP, sendo relator o eminente Ministro LUIZ GALOTTI, em sessão Plenária decidiu: (07-09-73). "A contribuição, para o Fundo de Garantia de Tempo de Serviço incide sobre o pagamento feito aos empregados por horas extraordinárias de serviço. Não incide, porém, sobre o "quantum" pago, a título de pré-aviso". RTJ 68/237. - Quanto à segunda parte do julgamento, pôs em relevo o eminente relator: "Quanto ao segundo recurso, interposto pelo INPS, que reclama a incidência sobre o aviso prévio, pondera o eminente Procurador-Geral JOSÉ CARLOS MOREIRA ALVES, que, no julgamento do RE 85.289, de que foi relator o eminente Ministro XAVIER DE ALBUQUERQUE, já tomou o STF em consideração o entendimento do Ministério do Trabalho, segundo o qual, sequer para efeito de contribuição previdenciária, a importância relativa ao aviso prévio deve ser levada em conta". (pág. 242-RTJ 68) - Aliás a própria legislação do imposto de renda, com toda a sua rigidez, reconhece o caráter indenizatório do aviso prévio pago em dinheiro, tanto que proíbe a inclusão do pagamento entre os rendimentos brutos tributados e a entrada do mesmo no cômputo do rendimento bruto. (art. 17 e 36 da Lei nº 4.506, de 30-11-64) - Realmente, no RE 75.289-SP em 30-03-73, esta Egrégia Turma, reportando-se o eminente Relator Ministro XAVIER DE ALBUQUERQUE aos julgados nos RE 73.720 e 74.092, pelo Plenário, concluiu que o pagamento em dinheiro de aviso prévio devido pela rescisão do contrato de trabalho, tem caráter indenizatório e não se confunde com o salário, nele não incidindo, portanto a contribuição previdenciária. - Com maioria de razão, penso eu, não incide a contribuição relativa ao FGTS, que os eminentes juristas, VICTOR NU NES LEAL, CESARINO JÚNIOR, RUBENS GOMES DE SOUZA e GERALDO ATALIBA sustentam, com bons argumentos, que se trata de contribuição de natureza tributária. Julgado em 09-05-1978 Revista Trimestral de Jurisprudência. Fevereiro, 1979 - Vol. 87 - Pág. 701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Contribuição para o Fundo de Garantia do Tempo de Serviço, não incide sobre o "quantum" pago a título de aviso prévio, por seu caráter indenizatório.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2026-07-28T04:31:53.529Z</dcterms:created>
  <dcterms:modified xsi:type="dcterms:W3CDTF">2026-07-28T04:31:53.529Z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