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05/12/1979</w:t>
      </w:r>
    </w:p>
    <w:p/>
    <w:p>
      <w:r>
        <w:t xml:space="preserve">SEMANA DE QUATRO DIAS — SE A ELE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violação do artigo 7º, letra "a", da Lei 605/49 e artigo 10º, § 1º, alínea "a", do Decreto 27.048/49, que asseguram um dia normal de trabalho para efeito de pagamento do repouso. - A jornada a menor, de quatro dias por semana, é da conveniência do empregador, eis que, segundo tal horário têm os reclamantes assiduidade integral, mediante freqüência e pontualidade. Assim o seu repouso não pode ser calculado tendo em vista o horário de uma semana de seus dias. - O provimento é para restabelecer a r. sentença de primeira instância quanto ao cálculo dos repousos semanais remunerados. Proc. TST-RR-3.564/78, Julgado em 06-12-1979 VENCIDOS OS MINISTROS EXPEDITO AMORIM (relator) e COQUEIJO COSTA Arquivo do Ementário Forense, TST/1019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diarista que trabalha apenas quatro dias por semana, faz jus ao descanso na forma do artigo 7º, "a", da Lei 605/49.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2026-10-16T17:24:38.447Z</dcterms:created>
  <dcterms:modified xsi:type="dcterms:W3CDTF">2026-10-16T17:24:38.447Z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