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02/12/1979</w:t>
      </w:r>
    </w:p>
    <w:p/>
    <w:p>
      <w:r>
        <w:t xml:space="preserve">FORÇA DE LEI OU DO CONTRATO — CÔMPUTO DAS HORAS EXTRAS HABITUAIS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se refere à inclusão das horas extras no sábado do bancário, reformulo o meu entendimento anterior para também negar provimento ao recurso. Realmente convenci-me, que não há como distinguir entre os dias de repouso por força de lei ou do contrato, se não se realiza o trabalho mas o empregador paga o salário. - Não se trata de definir se o dia de sábado para os bancários é mais um dia de repouso, pois o que importa é o fato de não haver trabalho sem perda salarial. Assim, se o empregado não é responsável pela ausência de trabalho, não é justo, nem legal que perceba salário inferior ao que habitualmente percebe. - É o meu voto. Proc. TST-RR-1.942/79, Julgado em 03-12-1979 VENCIDOS OS MINISTROS THÉLIO DA COSTA MONTEIRO e NÉLSON TAPAJÓS Arquivo do Ementário, TST/1043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empregado receber menos nos dias em que, por força de lei, ou do contrato, não tenha trabalhado, daí refletirem as horas extraordinárias habituais na remuneração desses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2026-07-28T01:53:52.613Z</dcterms:created>
  <dcterms:modified xsi:type="dcterms:W3CDTF">2026-07-28T01:53:52.613Z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