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17/10/1979</w:t>
      </w:r>
    </w:p>
    <w:p/>
    <w:p>
      <w:r>
        <w:t xml:space="preserve">CASO DE DESCOMISSIONAMENTO DO EMPREGADO — ATO ÚNICO DO EMPREGADOR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postulante foi "descomissionado" em 1969 e reclamou, apenas, em 1976. - Não vejo como, em face do ato único e positivo do empregador, se possa ter como existente uma violação sucessiva e periódica de seus direitos. - Dou por ofendido o art. 11, da CLT, e, amparado na jurisprudência, conheço, preliminarmente, da revista. - No mérito -, em consequência dos fundamentos que levaram ao conhecimento do recurso, dou-lhe provimento, para declarar prescrito seus eventuais direitos decorrentes da alteração contratual operada pelo ato positivo e único do empregador que afastou o empregado do cargo em comissão, como, aliás, lhe era facultado pelo art. 450, da CLT. Proc. TST-RR-373/79, Julgado em 18-10-1979 Arquivo do Ementário Forense, TST/1054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contra ato único e positivo do empregador que afasta o empregado, com base no art. 450, da CLT, de cargo em comissão, regula-se pela letra do art. 11, da CLT, por não ter caráter sucessivo.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2026-07-28T01:31:22.553Z</dcterms:created>
  <dcterms:modified xsi:type="dcterms:W3CDTF">2026-07-28T01:31:22.553Z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