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17/10/1979</w:t>
      </w:r>
    </w:p>
    <w:p/>
    <w:p>
      <w:r>
        <w:t xml:space="preserve">CASO DE DESCOMISSIONAMENTO DO EMPREGADO — ATO ÚNICO DO EMPREGADOR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postulante foi "descomissionado" em 1969 e reclamou, apenas, em 1976. - Não vejo como, em face do ato único e positivo do empregador, se possa ter como existente uma violação sucessiva e periódica de seus direitos. - Dou por ofendido o art. 11, da CLT, e, amparado na jurisprudência, conheço, preliminarmente, da revista. - No mérito -, em consequência dos fundamentos que levaram ao conhecimento do recurso, dou-lhe provimento, para declarar prescrito seus eventuais direitos decorrentes da alteração contratual operada pelo ato positivo e único do empregador que afastou o empregado do cargo em comissão, como, aliás, lhe era facultado pelo art. 450, da CLT. Proc. TST-RR-373/79, Julgado em 18-10-1979 Arquivo do Ementário Forense, TST/1054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contra ato único e positivo do empregador que afasta o empregado, com base no art. 450, da CLT, de cargo em comissão, regula-se pela letra do art. 11, da CLT, por não ter caráter sucessivo.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2026-10-16T17:20:26.606Z</dcterms:created>
  <dcterms:modified xsi:type="dcterms:W3CDTF">2026-10-16T17:20:26.606Z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