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11/12/1979</w:t>
      </w:r>
    </w:p>
    <w:p/>
    <w:p>
      <w:r>
        <w:t xml:space="preserve">LICITUDE DO AGRAVO DE INSTRUMENTO CONTRA O INDEFERIMENTO PARCIAL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majoritário neste TST, é da admissibilidade parcial, cabendo ao interessado entrar com agravo de instrumento da parte cujo seguimento foi negado ao juízo de admissibilidade. - Sem maiores indagações jurídicas nada opondo à corrente que defende a tese contrária, qual a de não vinculação deste TST ao despacho do Presidente do TRT que tenho como perfeitamente sustentável e a qual, filosoficamente me filio, admitindo que a tendência majoritária não importa em cerceamento de defesa ou negação da prestação jurisdicional, não entendo como essencial pugnar pela revogação daquela jurisprudência, por não ocorrer nela qualquer inconstitucionalidade ou ilegalidade. - Consequentemente, rejeito os embargos. Proc. TST-E-RR-1.628/77, Julgado em 12-12-1979 VENCIDOS OS MINISTROS ORLANDO COUTINHO, COQUEIJO COSTA E NELSON TAPAJÓS Arquivo do Ementário Forense, TST/1040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lícito à parte cuja revista não foi parcialmente admitida, entrar com agravo de instrumento, não havendo assim cerceamento de defesa ou negação da prestação jurisdicional, é defensável o ponto de vista majoritário no TST, que entende só poder ser conhecida a revista pela parte admitida.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2026-10-16T16:14:21.627Z</dcterms:created>
  <dcterms:modified xsi:type="dcterms:W3CDTF">2026-10-16T16:14:21.627Z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