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11/12/1979</w:t>
      </w:r>
    </w:p>
    <w:p/>
    <w:p>
      <w:r>
        <w:t xml:space="preserve">LICITUDE DO AGRAVO DE INSTRUMENTO CONTRA O INDEFERIMENTO PARCIAL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majoritário neste TST, é da admissibilidade parcial, cabendo ao interessado entrar com agravo de instrumento da parte cujo seguimento foi negado ao juízo de admissibilidade. - Sem maiores indagações jurídicas nada opondo à corrente que defende a tese contrária, qual a de não vinculação deste TST ao despacho do Presidente do TRT que tenho como perfeitamente sustentável e a qual, filosoficamente me filio, admitindo que a tendência majoritária não importa em cerceamento de defesa ou negação da prestação jurisdicional, não entendo como essencial pugnar pela revogação daquela jurisprudência, por não ocorrer nela qualquer inconstitucionalidade ou ilegalidade. - Consequentemente, rejeito os embargos. Proc. TST-E-RR-1.628/77, Julgado em 12-12-1979 VENCIDOS OS MINISTROS ORLANDO COUTINHO, COQUEIJO COSTA E NELSON TAPAJÓS Arquivo do Ementário Forense, TST/1040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lícito à parte cuja revista não foi parcialmente admitida, entrar com agravo de instrumento, não havendo assim cerceamento de defesa ou negação da prestação jurisdicional, é defensável o ponto de vista majoritário no TST, que entende só poder ser conhecida a revista pela parte admitida.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2026-07-28T04:25:00.924Z</dcterms:created>
  <dcterms:modified xsi:type="dcterms:W3CDTF">2026-07-28T04:25:00.924Z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