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Recurso: </w:t>
      </w:r>
      <w:r>
        <w:t xml:space="preserve">Agravo de Instrumento -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05/12/1979</w:t>
      </w:r>
    </w:p>
    <w:p/>
    <w:p>
      <w:r>
        <w:t xml:space="preserve">ACÓRDÃO PROFERIDO EM AGRAVO DE PETIÇÃO — QUANDO NÃO CABE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A. C., que embargara como terceira na execução, inconforma-se com o acórdão da 1ª Turma do 2º TRT que negou provimento ao seu agravo de petição. E interpôs a revista "sub-judice", que, não envolvendo nenhuma matéria constitucional, não pode ser conhecida (CLT, artigo 896, § 4º). - É verdade que usara de Recurso Ordinário, recebido e julgado como Agravo de Instrumento. - Se bem doutrinariamente seja correto sustentar que embargos de terceiro constituem ação, e não recurso, e, dessa forma, caberia recurso ordinário, e não agravo de petição, da decisão dada na execução, é mansa e iterativa a jurisprudência do TST em sentido contrário. - Outrossim, o próprio STF proclama cabível a revista na execução apenas na hipótese de o acórdão, em agravo de petição, envolver matéria constitucional. - Não violou o TRT a letra de qualquer lei, nem a jurisprudência velha e revelha trazida aos autos justifica o conhecimento. - Não conheço da revista. Proc. TST-RR-3.460/78, Julgado em 06-12-1979 Arquivo do Ementário Forense, TST/1052 EMENTÁRIO FORENSE. Julho, 2002.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Só cabe revista de acórdão em Agravo de Petição na execução quando nele versada matéria constitucional, conforme jurisprudência do Pleno do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2026-07-28T01:57:19.247Z</dcterms:created>
  <dcterms:modified xsi:type="dcterms:W3CDTF">2026-07-28T01:57:19.247Z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