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05/12/1979</w:t>
      </w:r>
    </w:p>
    <w:p/>
    <w:p>
      <w:r>
        <w:t xml:space="preserve">INTEGRAÇÃO NO SALÁRIO — CASO DE DUPLICIDADE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Adicional por tempo de serviço e gratificação individual de produtividade são parcelas devidas e pagas pelo empregador. Têm, pois, natureza salarial nítida. Mas, se são pagas mensalmente, já são levadas em conta, descabendo a duplicidade de sua integração no descanso semanal remunerado e nos feriados. - Dou provimento, para excluir da condenação tais diferenças. Proc. TST-RR-2.015/79, Julgado em 06-12-1979 VENCIDO O MINISTRO ARY CAMPISTA (revisor) Arquivo do Ementário Forense, TST/1051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Adicional por tempo de serviço e ratificação individual de produtividade têm natureza remuneratória, devidos e pagos que são diretamente pelo empregador. Mas, satisfeitos mensalmente, já são levados em conta no salário, descabendo a duplicidade de sua integração no descanso semanal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2026-07-28T01:58:05.496Z</dcterms:created>
  <dcterms:modified xsi:type="dcterms:W3CDTF">2026-07-28T01:58:05.496Z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