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07/11/1973</w:t>
      </w:r>
    </w:p>
    <w:p/>
    <w:p>
      <w:r>
        <w:t xml:space="preserve">FIXAÇÃO PELO JUIZ — QUANDO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o acórdão recorrido deve ser mantido. O reclamante pleiteou salário-doença de seis dias e repousos remunerados correspondentes. - Considerando o salário hora de Cr$ 6,30, percebido pelo reclamante, é evidente que o valor da causa, correspondente ao pedido, é inferior à alçada. - Ademais, não estipulado qualquer valor na inicial é lícito ao juiz arbitrá-lo, com base no pedido. - Nego provimento. Proc. TST-RR-1.082/79, Julgado em 08-11-1973 Arquivo do Ementário Forense, TST/1045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valor da causa não estiver estipulado na inicial, é lícito ao Juiz fixá-lo por ocasião da sentença, com base no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2026-07-28T01:59:42.856Z</dcterms:created>
  <dcterms:modified xsi:type="dcterms:W3CDTF">2026-07-28T01:59:42.856Z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