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REGIME DE COMPENSAÇÃO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26/02/1980</w:t>
      </w:r>
    </w:p>
    <w:p/>
    <w:p>
      <w:r>
        <w:t xml:space="preserve">VANTAGENS DE ALIMENTAÇÃO E TRANSPORTE — SE O INTEGRAM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artigos 2º, 3º e 4º da Lei nº 5.811/72, prevêem o pagamento das vantagens aqui discutidas, decorrentes do regime de revezamento. Quando alterado tal regime é assegurada uma indenização ao empregado (art. 9º e seu parágrafo único - Lei nº 5.811). Dou provimento para excluir a integração ao salário daquelas entidades, não incidindo, assim, o adicional de periculosidade sobre elas, apenas sobre o salário-base. Proc. TST-E-RR-2.362/77, Julgado em 27-02-1980 VENCIDOS OS MINISTROS ALVES DE ALMEIDA, ARY CAPISTA, ORLANDO COUTINHO E THELIO DA COSTA MONTEIRO Arquivo do Ementário Forense, TST/1057 EMENTÁRIO FORENSE. Agosto, 1980. Ano XXXII. Nº 381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vantagens da alimentação e transporte são gratuitas na forma da Lei nº 5.811/72 e não integram cálculo para incidência do adicional de tempo de serviço.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2026-10-16T17:25:27.467Z</dcterms:created>
  <dcterms:modified xsi:type="dcterms:W3CDTF">2026-10-16T17:25:27.467Z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