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REGIME DE COMPENSAÇÃO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26/02/1980</w:t>
      </w:r>
    </w:p>
    <w:p/>
    <w:p>
      <w:r>
        <w:t xml:space="preserve">VANTAGENS DE ALIMENTAÇÃO E TRANSPORTE — SE O INTEGRAM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Os artigos 2º, 3º e 4º da Lei nº 5.811/72, prevêem o pagamento das vantagens aqui discutidas, decorrentes do regime de revezamento. Quando alterado tal regime é assegurada uma indenização ao empregado (art. 9º e seu parágrafo único - Lei nº 5.811). Dou provimento para excluir a integração ao salário daquelas entidades, não incidindo, assim, o adicional de periculosidade sobre elas, apenas sobre o salário-base. Proc. TST-E-RR-2.362/77, Julgado em 27-02-1980 VENCIDOS OS MINISTROS ALVES DE ALMEIDA, ARY CAPISTA, ORLANDO COUTINHO E THELIO DA COSTA MONTEIRO Arquivo do Ementário Forense, TST/1057 EMENTÁRIO FORENSE. Agosto, 1980. Ano XXXII. Nº 381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vantagens da alimentação e transporte são gratuitas na forma da Lei nº 5.811/72 e não integram cálculo para incidência do adicional de tempo de serviço.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2026-07-28T04:29:55.486Z</dcterms:created>
  <dcterms:modified xsi:type="dcterms:W3CDTF">2026-07-28T04:29:55.486Z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