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18/03/1980</w:t>
      </w:r>
    </w:p>
    <w:p/>
    <w:p>
      <w:r>
        <w:t xml:space="preserve">ESTATUTO DO FERROVIÁRIO — EXIGÊNCIA DE PRÉVIO INQUÉRITO - INOBSERVÂNCIA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divergências (...). - Face ao art. 232 do Estatuto dos Ferroviários, as penalidades de advertência, censura, responsabilidade ou suspensão exigem o prévio inquérito administrativo, sendo que, se aplicada qualquer uma delas, nula se torna a pena. - Referido dispositivo aplica-se indistintamente a todos os servidores da Fepasa, independentemente de serem servidores ou celetistas. - Além do mais, trata-se de norma contratual, que acima de tudo, é benéfica ao empregado. - Para consubstanciar o entendimento, está a Súmula 77 (*), que diz nula a punição se não precedida da sindicância ou inquérito, a que se obrigou a empresa, através de norma regulamentar. - Acolho os embargos para restabelecer a decisão regional. Proc. TST-E-RR-2.452/77, Julgado em 19-03-1980 Arquivo do Ementário Forense, TST/1067 (*) "Nula é a punição do empregado se não precedida de inquérito ou sindicância internos a que se obrigou a empresa, por norma regulamentar." ("EMENTÁRIO FORENSE", Nº 370, t. PENALIDADE, st.. REGULAMENTO DA EMPRESA)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penalidades de advertência, censura, responsabilidade ou suspensão, face ao art. 232 do Estatuto dos Ferroviários, exigem prévio inquérito para aplicação de qualquer delas, tornando nula a pena se assim não for procedido. - Tal disposição aplica-se indistintamente a todos os servidores da Fepasa, quer sejam públicos ou celetistas.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2026-07-28T01:23:46.081Z</dcterms:created>
  <dcterms:modified xsi:type="dcterms:W3CDTF">2026-07-28T01:23:46.081Z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