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14/05/1979</w:t>
      </w:r>
    </w:p>
    <w:p/>
    <w:p>
      <w:r>
        <w:t xml:space="preserve">ADMISSÃO ANTES E DEPOIS DO DECRETO-LEI 389 — NECESSIDADE DE DISTINÇÃO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E. Regional "a quo", a exemplo do que já fizera a sentença de primeiro grau, não distinguiu entre os reclamantes admitidos antes do advento do Decreto-lei nº 389/68 e aqueles que ingressaram ao depois. Assim, determinou que os efeitos pecuniários da insalubridade constatada fossem devidos a partir da propositura da demanda. - No entanto, a meu ver, imprescindível fazer-se essa distinção, pena de afrontar direitos adquiridos. Como se observa do v. aresto (...), o Excelso Supremo Tribunal Federal adota essa orientação, de sorte que se impõe que os efeitos da condenação em adicional de insalubridade, para os empregados admitidos antes do Decreto-lei nº 389/68, retroaja até dois anos antes do ajuizamento da demanda. - Para o efeito supra, dou provimento à revista. Proc. TST-RR-3.550/78, Julgado em 15-05-1979 Arquivo do Ementário Forense, TST/1061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aplicação do disposto no art. 3º do Decreto-lei nº 389, de 26 de dezembro de 1968, há o juiz, necessariamente, de fazer a distinção entre os empregados admitidos antes e depois do advento desse diploma legal, pena de violar possíveis direitos adquiridos.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2026-07-28T01:53:10.396Z</dcterms:created>
  <dcterms:modified xsi:type="dcterms:W3CDTF">2026-07-28T01:53:10.396Z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