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14/05/1979</w:t>
      </w:r>
    </w:p>
    <w:p/>
    <w:p>
      <w:r>
        <w:t xml:space="preserve">ADMISSÃO ANTES E DEPOIS DO DECRETO-LEI 389 — NECESSIDADE DE DISTINÇÃO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E. Regional "a quo", a exemplo do que já fizera a sentença de primeiro grau, não distinguiu entre os reclamantes admitidos antes do advento do Decreto-lei nº 389/68 e aqueles que ingressaram ao depois. Assim, determinou que os efeitos pecuniários da insalubridade constatada fossem devidos a partir da propositura da demanda. - No entanto, a meu ver, imprescindível fazer-se essa distinção, pena de afrontar direitos adquiridos. Como se observa do v. aresto (...), o Excelso Supremo Tribunal Federal adota essa orientação, de sorte que se impõe que os efeitos da condenação em adicional de insalubridade, para os empregados admitidos antes do Decreto-lei nº 389/68, retroaja até dois anos antes do ajuizamento da demanda. - Para o efeito supra, dou provimento à revista. Proc. TST-RR-3.550/78, Julgado em 15-05-1979 Arquivo do Ementário Forense, TST/1061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aplicação do disposto no art. 3º do Decreto-lei nº 389, de 26 de dezembro de 1968, há o juiz, necessariamente, de fazer a distinção entre os empregados admitidos antes e depois do advento desse diploma legal, pena de violar possíveis direitos adquiridos.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2026-10-16T16:15:09.943Z</dcterms:created>
  <dcterms:modified xsi:type="dcterms:W3CDTF">2026-10-16T16:15:09.943Z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