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23/09/1979</w:t>
      </w:r>
    </w:p>
    <w:p/>
    <w:p>
      <w:r>
        <w:t xml:space="preserve">RESCISÃO COM A SUCEDIDA E NOVO CONTRATO COM A SUCESSORA — QUANDO NÃO SE SOMAM OS DOIS PERÍODOS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Conheço, porém, preliminarmente, do recurso por violação do art. 453. Se, por ocasião da sucessão de Bancos, o primeiro contrato do empregado foi rescindido, mediante indenizações legais, prosseguindo o serviço para o Banco sucessor, mediante novo contrato, os dois períodos não podem ser somados, a teor daquele preceito. - Dou provimento ao apelo, nesse ponto. - ............................... Proc. TST-RR-1.921/78, Julgado em 24-09-1979 Arquivo do Ementário Forense, TST/1083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trabalhador viu rescindido seu primeiro contrato, mediante pagamento de indenizações legais, e continuou, mediante novo contrato, a prestar serviços à empresa sucessora, os dois períodos de trabalho não se somam para os fins legais (CLT, art. 453).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2026-07-28T00:35:40.055Z</dcterms:created>
  <dcterms:modified xsi:type="dcterms:W3CDTF">2026-07-28T00:35:40.055Z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