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23/09/1979</w:t>
      </w:r>
    </w:p>
    <w:p/>
    <w:p>
      <w:r>
        <w:t xml:space="preserve">RESCISÃO COM A SUCEDIDA E NOVO CONTRATO COM A SUCESSORA — QUANDO NÃO SE SOMAM OS DOIS PERÍODOS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Conheço, porém, preliminarmente, do recurso por violação do art. 453. Se, por ocasião da sucessão de Bancos, o primeiro contrato do empregado foi rescindido, mediante indenizações legais, prosseguindo o serviço para o Banco sucessor, mediante novo contrato, os dois períodos não podem ser somados, a teor daquele preceito. - Dou provimento ao apelo, nesse ponto. - ............................... Proc. TST-RR-1.921/78, Julgado em 24-09-1979 Arquivo do Ementário Forense, TST/1083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trabalhador viu rescindido seu primeiro contrato, mediante pagamento de indenizações legais, e continuou, mediante novo contrato, a prestar serviços à empresa sucessora, os dois períodos de trabalho não se somam para os fins legais (CLT, art. 453).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2026-10-26T04:41:07.004Z</dcterms:created>
  <dcterms:modified xsi:type="dcterms:W3CDTF">2026-10-26T04:41:07.004Z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