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29/08/1979</w:t>
      </w:r>
    </w:p>
    <w:p/>
    <w:p>
      <w:r>
        <w:t xml:space="preserve">SE PODE SER DEDUZIDA EM AUDIÊNCIA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ação de consignação, ajuizada em reconvenção, não impõe petição escrita, porque é deduzida na contestação, que, na Justiça do Trabalho, é feita na audiência. Note-se que a inicial da ação trabalhista também pode ser verbal, reduzida a escrito na Secretaria da Junta. Violado não foi, portanto, na sua letra, o art. 893 da CLT, que diz respeito à petição inicial da ação civil. - Os três arestos, alinhados (...) igualmente não se reportam a Lei nº 0000/72, o que lhes retira a indispensável especificidade para a composição do conflito pretoriano. - Não conheço da revista. Proc. TST-RR-48/79, Julgado em 30-08-1979 VENCIDO O MINISTRO ANTONIO PEREIRA MAGALDI (revisor) Arquivo do Ementário Forense, TST/1079 EMENTÁRIO FORENSE. Setembro, 1980. Ano XXXII. Nº 382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consignação, em reconvenção trabalhista, não exige petição escrita, pois é deduzida em audiência, logo após a contestação, que deve ser produzida oralmente.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2026-07-28T00:18:16.598Z</dcterms:created>
  <dcterms:modified xsi:type="dcterms:W3CDTF">2026-07-28T00:18:16.598Z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