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23/09/1979</w:t>
      </w:r>
    </w:p>
    <w:p/>
    <w:p>
      <w:r>
        <w:t xml:space="preserve">SE OCORRE PELO FATO DE ENTRAR O EMPREGADO EM GOZO DE BENEFÍCIO PREVIDENCIÁRIO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revista do autor funda-se na alegação de que o seu contrato, originalmente a prazo certo, ultrapassou os 90 dias de experiência, prolongando-se por mais sete dias, acarretando, conseqüentemente, a alteração de sua natureza. - Todavia o acórdão impugnado nos fornece uma versão diferente do fato alegado, quando assenta que o empregado foi contratado em 26 de março de 1977. Em 17 do mesmo mês o empregado afastou-se do serviço, passando a gozar o benefício previdenciário, tendo a empregadora satisfeito o pagamento dos 15 dias anteriores como salário-doença. - Não houve, "data venia", prorrogação do contrato, e, conseqüentemente, não violado o art. 445 da CLT. - Não há divergência. - Não conheço no particular. Proc. TST-RR-2.114/78, Julgado em 24-09-1979 Arquivo do Ementário Forense, TST/1085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a prazo certo resolve-se no termo estipulado não importando em prorrogação o fato de o empregado entrar em gozo de benefício previdenciário.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2026-10-26T01:56:31.867Z</dcterms:created>
  <dcterms:modified xsi:type="dcterms:W3CDTF">2026-10-26T01:56:31.867Z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