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02/03/1980</w:t>
      </w:r>
    </w:p>
    <w:p/>
    <w:p>
      <w:r>
        <w:t xml:space="preserve">DEFEITO OU IRREGULARIDADE NO PREGÃO — MATÉRIA IMPRÓPRIA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Pleno, por maioria, não conheceu dos embargos do Banco reclamando pois não há preclusão preclusão quando o juiz verifica a incapacidade processual ou a irregularidade de representação das partes. Manda o art. 13 do Código de Processo Civil que ele suspenda o processo e marque prazo razoável para ser sanado o defeito (...). - ........................... DO VOTO - A nulidade seria do pregão e do julgamento e com isso quer-se a reinclusão do processo em pauta, para julgamento dos embargos infringentes. - Ora, vê-se, de saída, que esse não é o objetivo do recurso dos embargos declaratórios, recurso sem contraditório que visa apenas a esclarecer o julgado embargado, e não anulá-lo por um suposto vício como esse. - Rejeito os embargos. Proc. TST-ED-E-RR-1.484/77, Julgado em 03-03-1980 Arquivo do Ementário Forense, TST/1096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Embargos declaratórios são um recurso sem contraditório, que esclarece o aresto embargado e não pode, por isso, anulá-lo a título de suposto defeito ou irregularidade no pregão do julgamento.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2026-10-26T04:38:29.995Z</dcterms:created>
  <dcterms:modified xsi:type="dcterms:W3CDTF">2026-10-26T04:38:29.995Z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