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04/03/1980</w:t>
      </w:r>
    </w:p>
    <w:p/>
    <w:p>
      <w:r>
        <w:t xml:space="preserve">QUANDO NÃO PODEM SER INCLUÍDOS NA CONTAGEM DO PERÍODO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Comprovada a divergência CONHEÇO. - No mérito, a melhor interpretação é a dos paradigmas de divergência. - O § 2º do artigo 132, da CLT, na redação dada pelo Decreto-lei 1.031/69, era expresso no sentido de que o sábado não podia ser considerado dia útil para os empregados submetidos ao regime de cinco dias por semana, não fazendo qualquer distinção quanto a hipótese de compensação. Como não é lícito ao intérprete distinguir onde a lei não distingue, devem prevalecer os paradigmas de divergência. ACOLHO os embargos para incluir na condenação as diferenças resultantes da exclusão dos sábados nas férias vencidas. Proc. TST-E-RR-2.545/78, Julgado em 05-03-1980 Arquivo do Ementário Forense, TST/1102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Durante a vigência do § 2º do art. 132 da CLT, na redação dada pelo Decreto-lei 1.031/69, os sábados não podem ser incluídos na contagem dos períodos de férias, quando submetido o empregado a semana de cinco dias, em regime de compensação.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2026-10-26T04:31:00.761Z</dcterms:created>
  <dcterms:modified xsi:type="dcterms:W3CDTF">2026-10-26T04:31:00.761Z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