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04/03/1980</w:t>
      </w:r>
    </w:p>
    <w:p/>
    <w:p>
      <w:r>
        <w:t xml:space="preserve">QUANDO NÃO PODEM SER INCLUÍDOS NA CONTAGEM DO PERÍODO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Comprovada a divergência CONHEÇO. - No mérito, a melhor interpretação é a dos paradigmas de divergência. - O § 2º do artigo 132, da CLT, na redação dada pelo Decreto-lei 1.031/69, era expresso no sentido de que o sábado não podia ser considerado dia útil para os empregados submetidos ao regime de cinco dias por semana, não fazendo qualquer distinção quanto a hipótese de compensação. Como não é lícito ao intérprete distinguir onde a lei não distingue, devem prevalecer os paradigmas de divergência. ACOLHO os embargos para incluir na condenação as diferenças resultantes da exclusão dos sábados nas férias vencidas. Proc. TST-E-RR-2.545/78, Julgado em 05-03-1980 Arquivo do Ementário Forense, TST/1102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Durante a vigência do § 2º do art. 132 da CLT, na redação dada pelo Decreto-lei 1.031/69, os sábados não podem ser incluídos na contagem dos períodos de férias, quando submetido o empregado a semana de cinco dias, em regime de compensação.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2026-07-28T00:26:34.048Z</dcterms:created>
  <dcterms:modified xsi:type="dcterms:W3CDTF">2026-07-28T00:26:34.048Z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