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TRANSPORTE DO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12/09/1979</w:t>
      </w:r>
    </w:p>
    <w:p/>
    <w:p>
      <w:r>
        <w:t xml:space="preserve">VEÍCULO DO EMPREGADO CUSTEADO PELA EMPRESA — NATUREZA SALARIAL DA VERBA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Se o veículo era do empregado; se a empresa, no seu próprio interesse, custeava esse veículo para uso pelo empregado no seu serviço - essa verba é indiscutivelmente salarial, pois devida e paga diretamente pelo empregador. Não há um contrato acessório ou secundário, pois a relação que ele regulamente é atraída para o campo da captação do contrato de emprego e seus consectários legais e contratuais. - Razoável a interpretação dada pelo TRT, nego provimento. Proc. TST-RR-5.258/78, Julgado em 13-09-1979 VENCIDO O MINISTRO EXPEDITO AMORIM (relator) Arquivo do Ementário Forense, TST/1084 EMENTÁRIO FORENSE. Setembro, 1980. Ano XXXII. Nº 382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empresa custeava veículo do empregado para uso por este no serviço e no interesse da empresa, a verba respectiva tinha natureza salarial, pois devida e paga diretamente pelo empregador, em função do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2026-10-16T17:21:55.291Z</dcterms:created>
  <dcterms:modified xsi:type="dcterms:W3CDTF">2026-10-16T17:21:55.291Z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