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12/09/1979</w:t>
      </w:r>
    </w:p>
    <w:p/>
    <w:p>
      <w:r>
        <w:t xml:space="preserve">VEÍCULO DO EMPREGADO CUSTEADO PELA EMPRESA — NATUREZA SALARIAL DA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Se o veículo era do empregado; se a empresa, no seu próprio interesse, custeava esse veículo para uso pelo empregado no seu serviço - essa verba é indiscutivelmente salarial, pois devida e paga diretamente pelo empregador. Não há um contrato acessório ou secundário, pois a relação que ele regulamente é atraída para o campo da captação do contrato de emprego e seus consectários legais e contratuais. - Razoável a interpretação dada pelo TRT, nego provimento. Proc. TST-RR-5.258/78, Julgado em 13-09-1979 VENCIDO O MINISTRO EXPEDITO AMORIM (relator) Arquivo do Ementário Forense, TST/1084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empresa custeava veículo do empregado para uso por este no serviço e no interesse da empresa, a verba respectiva tinha natureza salarial, pois devida e paga diretamente pelo empregador, em função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2026-07-28T01:35:45.098Z</dcterms:created>
  <dcterms:modified xsi:type="dcterms:W3CDTF">2026-07-28T01:35:45.098Z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