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TRANSPORTE DO EMPREGADO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26/03/1980</w:t>
      </w:r>
    </w:p>
    <w:p/>
    <w:p>
      <w:r>
        <w:t xml:space="preserve">NÃO CONCESSÃO NA ÉPOCA PRÓPRIA — QUANDO PASSA O EMPREGADOR A DEVÊ-LAS NA NOVA BASE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regional examinou os diversos itens do pedido, referentes a verbas pagas incompletamente e, a luz da prova, as deixou decididas. - Todavia, resta examinar a questão de direito, referente à aplicação imediata da nova Lei de Férias. O direito a férias é de ordem pública, decorrendo do texto constitucional. Por isso estamos entre os que entendem de aplicação imediata o Decreto-Lei 1.535. Trata-se de férias vencidas e indenizadas. Não as tendo concedido em tempo, o reclamado sujeitou-se à lei intercorrente e deve indenizá-las na base de trinta dias. - Não violada a lei, não conheço da Revista. Proc. TST-RR-2.383/79, Julgado em 27-03-1980 Arquivo do Ementário Forense, TST/1035 EMENTÁRIO FORENSE. Novembro, 1980. Ano XXXII. Nº 384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nova Lei de Férias (A Lei 1.535 de 1977) é imperativa, de ordem pública. Se o empregador não havia pago as férias, nem as concedera na época devida, ao entrar em vigor a nova Lei de Férias, passa a devê-las na base de trinta dias, inclusive para indenizá-las.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2026-10-16T17:17:22.294Z</dcterms:created>
  <dcterms:modified xsi:type="dcterms:W3CDTF">2026-10-16T17:17:22.294Z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