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26/03/1980</w:t>
      </w:r>
    </w:p>
    <w:p/>
    <w:p>
      <w:r>
        <w:t xml:space="preserve">NÃO CONCESSÃO NA ÉPOCA PRÓPRIA — QUANDO PASSA O EMPREGADOR A DEVÊ-LAS NA NOVA BASE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 examinou os diversos itens do pedido, referentes a verbas pagas incompletamente e, a luz da prova, as deixou decididas. - Todavia, resta examinar a questão de direito, referente à aplicação imediata da nova Lei de Férias. O direito a férias é de ordem pública, decorrendo do texto constitucional. Por isso estamos entre os que entendem de aplicação imediata o Decreto-Lei 1.535. Trata-se de férias vencidas e indenizadas. Não as tendo concedido em tempo, o reclamado sujeitou-se à lei intercorrente e deve indenizá-las na base de trinta dias. - Não violada a lei, não conheço da Revista. Proc. TST-RR-2.383/79, Julgado em 27-03-1980 Arquivo do Ementário Forense, TST/1035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nova Lei de Férias (A Lei 1.535 de 1977) é imperativa, de ordem pública. Se o empregador não havia pago as férias, nem as concedera na época devida, ao entrar em vigor a nova Lei de Férias, passa a devê-las na base de trinta dias, inclusive para indenizá-las.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2026-07-28T01:35:45.466Z</dcterms:created>
  <dcterms:modified xsi:type="dcterms:W3CDTF">2026-07-28T01:35:45.466Z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