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19/03/1980</w:t>
      </w:r>
    </w:p>
    <w:p/>
    <w:p>
      <w:r>
        <w:t xml:space="preserve">CONCESSÃO EM REGULAMENTO — MODALIDADE DE SALÁRIO - SEU ENQUADRAMENTO NA CLT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por violação do § 1º do artigo 457 da CLT, pois é razoável a interpretação, cônsona com a boa doutrina, de que na percentagem ali prevista se insere a participação nos lucros, que tem, realmente, nítido colo salarial (AMAURI MASCARO NASCIMENTO, "O salário", pág. 329). - A jurisprudência oferecida a contrastes cuida de gratificação, e não, especificamente, de participação nos lucros. - A matéria é fático-probatória, pois o Regional acentuou que o direito era regulamentar, houve lucro e os critérios para a concessão da vantagem deviam, por isso, ser observados pela empresa. Proc. TST-RR.926/79, Julgado em 20-03-1980 Arquivo do Ementário Forense, TST/1032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doutrina é uníssona em afirmar que a participação do empregado nos lucros da empresa tem a natureza de modalidade de salário, variável e condicionada" (AMAURI MASCARO NASCIMENTO). - É razoável a interpretação de que essa parcela salarial constitui a percentagem prevista no § 1º do artigo 457 da CLT, pelo que não viola a letra desta decisão que assim entende.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2026-10-16T16:13:42.798Z</dcterms:created>
  <dcterms:modified xsi:type="dcterms:W3CDTF">2026-10-16T16:13:42.798Z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