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19/03/1980</w:t>
      </w:r>
    </w:p>
    <w:p/>
    <w:p>
      <w:r>
        <w:t xml:space="preserve">CONCESSÃO EM REGULAMENTO — MODALIDADE DE SALÁRIO - SEU ENQUADRAMENTO NA CLT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por violação do § 1º do artigo 457 da CLT, pois é razoável a interpretação, cônsona com a boa doutrina, de que na percentagem ali prevista se insere a participação nos lucros, que tem, realmente, nítido colo salarial (AMAURI MASCARO NASCIMENTO, "O salário", pág. 329). - A jurisprudência oferecida a contrastes cuida de gratificação, e não, especificamente, de participação nos lucros. - A matéria é fático-probatória, pois o Regional acentuou que o direito era regulamentar, houve lucro e os critérios para a concessão da vantagem deviam, por isso, ser observados pela empresa. Proc. TST-RR.926/79, Julgado em 20-03-1980 Arquivo do Ementário Forense, TST/1032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"A doutrina é uníssona em afirmar que a participação do empregado nos lucros da empresa tem a natureza de modalidade de salário, variável e condicionada" (AMAURI MASCARO NASCIMENTO). - É razoável a interpretação de que essa parcela salarial constitui a percentagem prevista no § 1º do artigo 457 da CLT, pelo que não viola a letra desta decisão que assim entende.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2026-07-28T01:52:34.495Z</dcterms:created>
  <dcterms:modified xsi:type="dcterms:W3CDTF">2026-07-28T01:52:34.495Z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