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10/09/1979</w:t>
      </w:r>
    </w:p>
    <w:p/>
    <w:p>
      <w:r>
        <w:t xml:space="preserve">FRAUDE À LEI — QUANDO NÃO SE RECONHECE PARA O EFEITO DE SOMA DOS PERÍODOS ANTERIORES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"A Egrégia Turma Regional declara que o reclamante trabalhou ininterruptamente de 01-09-1958 até 02-08-1977, quando foi demitido. A 09-08-1977, ocorreu por transação a rescisão do contrato de trabalho, conforme o documento... . O reclamante outorgou à reclamada a mais ampla quitação pelo período trabalhado. Na mesma oportunidade, foi novamente contratado o autor, que optou pelo regime do Fundo de Garantia. A nova contratação, por outro regime, não permite o enquadramento na Súmula 20. A opção pelo Fundo de Garantia está formalmente perfeita. A soma dos períodos trabalhados não se justifica. Não devidas as diferenças de remuneração contidas no decisório, pois não há falar, no caso, quanto à aplicação da Súmula 5 (**). Inexiste sentença normativa beneficiando o reclamante no tocante aos seus salários. Houve apenas a promessa de aumento espontâneo a todos os empregados na forma de circular... . Sendo espontâneo, é indevido esse aumento ao reclamante que teve rescindido seu contrato de trabalho antes da concessão do aumento. - O reclamante, na revista, alega que não houve interrupção da prestação do serviço entre os dois contratos. - O recorrente foi demitido e readmitido no mesmo dia. Ocorre o intuito obstativo à estabilidade. Por outro lado, a integração do aviso prévio no tempo de serviço, ainda que pago em dinheiro, assegura a procedência do pedido de aumento. - .................................... DO VOTO - Conheci do recurso como o Sr. Relator, porém, no mérito divirjo do seu entendimento. - O contrato de trabalho foi rescindido por transação com a mais ampla quitação pelo período trabalhado. Não há pois falar em presunçã o de fraude (Súmula 20) que foi inadmitida pelo Regional. A nova contratação com opção pelo regime do FGTS foi conhecida perfeitamente formalizada. A promessa de aumento espontâneo a todos os empregados não atingiu o reclamante não só porque inexiste sentença normativa, como também, porque o reclamante teve rescindido o seu contrato antes da concessão do referido aumento. Proc. TST-RR-5.362/78, Julgado em 11-09-1979 VENCIDOS OS MINISTROS RAYMUNDO DE SOUZA MOURA (relator) e ALVES DE ALMEIDA Arquivo do Ementário Forense, TST/963 (*) "Não obstante o pagamento da indenização de antigüidade, presume-se em fraude à lei a resilição contratual se o empregado permaneceu prestando serviço ou tiver sido, em curto prazo, readmitido." ("E.F", Nº 267) (**) "In "EMENTÁRIO FORENSE", Nº 254, t. AVISO PRÉVIO, st. DESPEDIDA.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"Demissão e readmissão, mesmo a curto prazo e a opção pelo FGTS no segundo contrato entendida formalmente perfeita pelas instâncias da prova, não gera presunção de fraude nem autoriza o enquadramento na Súmula 20."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2026-07-28T01:36:00.107Z</dcterms:created>
  <dcterms:modified xsi:type="dcterms:W3CDTF">2026-07-28T01:36:00.107Z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