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10/09/1979</w:t>
      </w:r>
    </w:p>
    <w:p/>
    <w:p>
      <w:r>
        <w:t xml:space="preserve">TRANSFERÊNCIA DE SEÇÃO QUE VENDE OBJETOS MAIS VALIOSOS — COMO SE CARACTERIZA A ALTERAÇÃO UNILATERAL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Mérito. - Ainda que de comum acordo, a alteração contratual lesiva aos interesses do empregado é nula (art. 468 da CLT). Mais ainda, a redução de percentual de comissão faz presumir o prejuízo salarial. É justamente o caso dos autos. O reclamante faz jus ao pagamento da diferença das comissões pleiteadas, eis que, ademais, houve prejuízo certo e imediato na redução do seu salário. - Não está provada a aquiescência do reclamante; ao contrário, e ainda que ela existisse seria nula face à alteração contratual porque prejudicial como provaram a perícia e as testemunhas e como ficou bem claro do ato da empresa de retirar da seção a mercadoria que era básica ao vendedor depois de ter obtido dele a redução da comissão de 3% para 1,5%. - Houve flagrante prejuízo ao trabalhador, com redução sensível no seu salário. Houve nítida infração do art. 468 da CLT. - Dou provimento à revista para declarar o direito do reclamante de receber as diferenças salariais, decorrentes das comissões reduzidas, mantendo-se a média do que percebia quando vendia pianos, restabelecendo assim a sentença de 1ª instância, na sua conclusão. Proc.TST-RR-5.444/78, Julgado em 11-09-1979 VENCIDO O MINISTRO FERNANDO FRANCO (relator) Arquivo do Ementário Forense, TST/964 EMENTÁRIO FORENSE. Março, 1980. Ano XXXII. Nº 376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Só é permitida a redução das comissões dos vendedores pela transferência da seção que vendia objetos mais valiosos, quando não ofenda aos ganhos salariais do empregado.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2026-10-16T17:22:01.618Z</dcterms:created>
  <dcterms:modified xsi:type="dcterms:W3CDTF">2026-10-16T17:22:01.618Z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