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18/06/1979</w:t>
      </w:r>
    </w:p>
    <w:p/>
    <w:p>
      <w:r>
        <w:t xml:space="preserve">ATO DA EMPRESA ACEITO E CUMPRIDO PELO EMPREGADO — COMO INTEGRA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Reclamada, apoiada em parecer de sua Procuradoria Geral, deliberou não anuir aos pedidos de opção pelo FGTS, com base na faculdade contida no art. 1º da Lei 5.958/73, baixando portaria que, "data venia" do entendimento regional, passou a integrar o contrato de trabalho dos servidores que se encontravam nas condições exigidas e tinham atendidos os pré-requisitos para fazerem jus à compensação pelo não atendimento a que a Reclamada se jungiu, pela lei 5.958/73, de não atender a pedidos de ingresso no sistema do FGTS. Ofereceu a rescisão amigável do contrato de trabalho, por acordo, regendo-se a promessa pelos critérios que estabeleceu. - Reconhecem as instâncias perlustradas que a portaria foi baixada, vale dizer, publicada para produzir efeitos e é pacífico nos autos que a Reclamante teve o seu pedido de acordo manifestado pela Entidade, devidamente aceito e deferido, inclusive com emissão neste inadimplemento contratual, que a promessa se tornou obrigação, porque estipulada livremente e aceita pelo empregado. Sobre esse inadimplemento a Reclamante fundou o seu pedido de rescisão indireta, eis que, não cumprido o pacto, por qualquer de suas cláusulas, a lei consolidada, no art. 483, letra "d" autoriza ao empregado tomar a iniciativa de rescindí-lo por inteiro. Daí, visível a violação do disposto no art. 1.080 do Código Civil, que, subsidiariamente, no caso, tem aplicação, por via do art. 769 da CLT. A tese do Regional, de que a CLT não tem nenhum artigo que possibilite juridicamente a ação da Reclamante, sobre ser extremamente gramatical, olvidou o art. 769 da CLT, que responde à falt a da letra normativa que possibilitasse a rescisão indireta pleiteada. Não havia, por outro lado, exigir-se homologação de acordo, porque não chegou a instrumentar-se a manifestação de vontade, senão que tal manifestação se aperfeiçoou pelo procedimento a que se obrigou a Reclamada, pela portaria 235/74, cumprida integralmente pela Empregada. Dou provimento ao recurso para julgar procedente a reclamação, pela alternativa do pedido..., letras "a" e "b", condenada a Reclamada nas custas que lhe são carregadas, sobre a estimativa do valor da causa... . Proc. TST-RR-5.363/78, Julgado em 19-06-1979 Arquivo do Ementário Forense, TST/970 EMENTÁRIO FORENSE. Março, 1980. Ano XXXII. Nº 376 EMENTA: - O tema da rescisão indireta não requer outros pressupostos além dos que a lei apontou, mormente quando se trata de infração a cláusula contratual. RESUMO DO ACÓRDÃO: - A ementa do acórdão em causa deixa bem claro que o Egrégio Regional sustentou a tese de que a rescisão indireta requer falta grave do empregador, que resulte em intolerável sobrecarga que torne sacrificial a continuação da prestação de serviço e demasiadamente desproporcional à indenização pretendida. - A tese está em conflito com a disposição literal dos arts. 468 e 483, letra "d" da CLT. Conheço por violação de lei. - No mérito, a letra fria da lei não exige nem requer seja grave a falta cometida pelo empregador nas condições e cláusulas contratuais, para que tenha o empregado a iniciativa de romper o contrato de trabalho, mormente quando a Empresa contesta a alteração e resiste em restabelecer o "status quo" ante em pontos essenciais da avença laboral. Por outro lado, porque a alteração não se fez com o consentimento do empregado, nem mesmo permite a lei que possa o empregador alterar o contrato, se, no seu entendimento, tais variações não importam em ônus para o velho servidor, prestes a aposentar-se. Por fim, não diz a lei, em qualquer momento, que as infrações contratuais, para justificar rescisão, devam guardar proporcionalidade entre o ilícito cometido e a indenização a receber. - Por todos estes motivos, dou provimento ao recurso para julgar totalmente procedente a reclamação. Proc. TST-RR-2.451/78, Julgado em 27-03-1979 VENCIDO O MINISTRO COQUEIJO COSTA (revisor) Arquivo do Ementário Forense, TST/971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Reclamada faz promessa expressa, mediante portaria publicada, que foi cumprida pela Reclamante, essa cláusula passou a integrar o contrato de trabalho. - A rescisão indireta vem por inadimplemento de promessa que, subsidiariamente, no Direito do Trabalho, corresponde ao disposto no art. 483, letra "d"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2026-10-16T17:23:47.854Z</dcterms:created>
  <dcterms:modified xsi:type="dcterms:W3CDTF">2026-10-16T17:23:47.854Z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