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23/04/1979</w:t>
      </w:r>
    </w:p>
    <w:p/>
    <w:p>
      <w:r>
        <w:t xml:space="preserve">QUANDO A SUA DETERMINAÇÃO PODE CARACTERIZAR JULGAMENTO ULTRA PETITA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a pretendida conversão de indenização dobrada em reintegração, fundamentando-se o Agravante no art. 496 da CLT e em divergência jurisprudencial não prospera. Porque, no caso dos autos, o empregado pediu a rescisão em face de alteração contratual promovida pelo Banco. Neste caso, seria julgar fora do pedido determinar a reintegração, que não foi objeto da reclamatória. - Nestes termos, nego provimento ao agravo. Proc. TST-AI-4.181/78, Julgado em 24-04-1979 VENCIDO O MINISTRO OLIVEIRA TORRES Arquivo do Ementário Forense, TST/948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ao reclamante estável a opção entre pedir a reintegração ou a rescisão do contrato, quando o empregador praticar ato capaz de ensejar a ruptura do vínculo.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2026-10-16T18:35:51.648Z</dcterms:created>
  <dcterms:modified xsi:type="dcterms:W3CDTF">2026-10-16T18:35:51.648Z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