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19/03/1979</w:t>
      </w:r>
    </w:p>
    <w:p/>
    <w:p>
      <w:r>
        <w:t xml:space="preserve">INTERVALO MÍNIMO ENTRE ELAS — DESRESPEITO - COMO DEVEM SER REMUNERADAS AS HORAS SUBTRAÍDAS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Existe divergência (...), por isto, conheço do recurso. - A remuneração das horas subtraídas em virtude do regime de revezamento deve ser em dobro, porque coincidem com as horas do repouso semanal. - Por isso dou provimento ao recurso, para determinar que o pagamento das horas suprimidas face ao regime de revezamento seja feito em dobro, apurando-se o "quantum" em execução de sentença. Proc. TST-RR-4.111/78, Julgado em 20-03-1979 VENCIDOS OS MINISTROS FERNANDO FRANCO (revisor) E HILDEBRANDO BISAGLIA Arquivo do Ementário Forense, TST/951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remuneração das horas subtraídas em virtude do regime de revezamento deve ser em dobro, porque coincidem com as horas de repouso semanal.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2026-10-16T17:23:12.934Z</dcterms:created>
  <dcterms:modified xsi:type="dcterms:W3CDTF">2026-10-16T17:23:12.934Z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