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17/04/1978</w:t>
      </w:r>
    </w:p>
    <w:p/>
    <w:p>
      <w:r>
        <w:t xml:space="preserve">VIOLAÇÃO PELO EMPREGADOR — SE PODE RESULTAR EM REPARAÇÃO PECUNIÁRIA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ratifico o entendimento do acórdão regional, na forma de meus reiterados pronunciamentos, que são no sentido de que na hipótese "sub judice" não existe pretensão a ressarcimentos pecuniários para os reclamantes. Trata-se de ilícito administrativo, com sanções próprias. - Ante o exposto, nego provimento à revista. - É o meu voto. Proc. TST-RR-1.867/77, Julgado em 18-04-1978 VENCIDOS O MINISTRO COQUEIJO COSTA Arquivo do Ementário Forense, TST/711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intervalos para repouso e alimentação, concedidos em tempo inferior ao legal, não fazem gerar, para os empregados, pretensão a ressarcimento pecuniário. Constituindo ilícito administrativo são sujeitos a sanções próprias.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2026-10-16T17:25:36.568Z</dcterms:created>
  <dcterms:modified xsi:type="dcterms:W3CDTF">2026-10-16T17:25:36.568Z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