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19/08/1979</w:t>
      </w:r>
    </w:p>
    <w:p/>
    <w:p>
      <w:r>
        <w:t xml:space="preserve">DESEMBARQUE PELA CLÁUSULA 20 — QUANDO LHE ASSISTE DIREITO À RESPECTIVA GRATIFICAÇÃO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Regional, (...), assentou que em convenção coletiva ficara assegurado aos empregados, que se tornassem dirigentes sindicais, única e exclusivamente a soldada base fixada para a correspondente função. "Mas acontece que mesmo assim a reclamada pagava aos empregados todas as parcelas como se trabalhando estivessem, assim é que devida também a gratificação pleiteada, pois em se tratando de verba que aderiu ao contrato dos empregados nada mais justo do que pagar a gratificação a todos inclusive àqueles que por ventura à época da concessão estavam ligados ao Sindicato de Classe". - Trata-se de vantagem que adquiriu natureza salarial e foi, por isso, julgado procedente o pedido. - Assim, não me parecem idênticas as hipóteses versadas nos arestos paradigmas (...). - Não conheço. Proc. TST-RR-682/79, Julgado em 20-08-1979 Arquivo do Ementário Forense, TST/943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ao empregado dirigente sindical desembarcado pela cláusula 20 a gratificação concedida pela empresa a todos os empregados desembarcados pela mesma cláusula que não eram dirigentes sindicais.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2026-07-28T01:31:34.652Z</dcterms:created>
  <dcterms:modified xsi:type="dcterms:W3CDTF">2026-07-28T01:31:34.652Z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