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24/10/1977</w:t>
      </w:r>
    </w:p>
    <w:p/>
    <w:p>
      <w:r>
        <w:t xml:space="preserve">ATO DE INICIATIVA DO EMPREGADOR — CÁLCULO DA VANTAGEM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concedeu aumento de vencimentos aos reclamantes, pela lei nº 2.013, de 1971, condicionando, segundo o art. 5º, que essa majoração ficaria vinculada ao salário do cargo. Os reclamantes pretendem que o sobre as gratificações. As instâncias ordinárias reconhecem, que os autores estão sob regime da CLT, e isso não é contestado pelo reclamado. Ocorre, todavia, que tenho sido de iniciativa do réu o reajustamento salarial, e não de sentença normativa, a vantagem deve ser calculada de acordo com o termo de sua concessão. No caso, não há conflito entre a CLT e a lei estadual citada. Esta vale como norma contratual, inserta nos contratos, e como concessão espontânea, deve ser respeitada nos limites de sua instituição. - Dou provimento para excluir da condenação a incidência do aumento sobre as gratificações. Proc. TST-RR-460/77, Julgado em 25-10-1977 VENCIDOS OS MINISTROS LIMA TEIXEIRA E ALVES DE ALMEIDA Arquivo do Ementário Forense, TST/698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de iniciativa do réu o reajustamento salarial, e não de sentença normativa, a vantagem deve ser calculada de acordo com os termos de sua concessão.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2026-07-28T04:29:22.999Z</dcterms:created>
  <dcterms:modified xsi:type="dcterms:W3CDTF">2026-07-28T04:29:22.999Z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