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07/10/1979</w:t>
      </w:r>
    </w:p>
    <w:p/>
    <w:p>
      <w:r>
        <w:t xml:space="preserve">IDENTIDADE ENTRE O TRABALHO NOTURNO E O DIURNO — PAGAMENTO - COMO SE FARÁ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contudo, nego provimento à revista. - Muito embora se sustente que o art. 73 e seu parágrafo 3º sintonize com a tese Regional de que "em relação às empresas, cujo trabalho noturno decorra da natureza de suas atividades, o aumento será calculado sobre salário-mínimo geral, vigente na regial", entendo que a Súmula 313 do Pretório Excelso torna letra morta a diferença quanto à natureza da atividade do empregador em respeito mesmo ao princípio constitucional de que o trabalho noturno tem sempre remuneração superior ao diurno. Proc. TST-RR-1.412/79, Julgado em 08-10-1979 Arquivo do Ementário Forense, TST/967 (*) "Provada a identidade entre o trabalho diurno e o noturno, é devido o adicioanl quanto a este, sem a limitação do art. 73, § 3º, da Consolidação das Leis do Trabalho, independentemente da natureza da atividade do empregador." ("EMENTÁRIO FORENSE", Nº 193)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identidade entre o trabalho diurno e o noturno, é devido o adicional, quanto a este, sem a intimação do art. 73, § 3º da CLT, independentemente da natureza da atividade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2026-07-28T01:58:03.359Z</dcterms:created>
  <dcterms:modified xsi:type="dcterms:W3CDTF">2026-07-28T01:58:03.359Z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