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19/11/1979</w:t>
      </w:r>
    </w:p>
    <w:p/>
    <w:p>
      <w:r>
        <w:t xml:space="preserve">QUANDO PODE SER DEMANDADO PELOS EMPREGADOS DO SUB-EMPREITEIRO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Tratando-se de reclamação trabalhista em relação a empreitada, face ao estabelecimento no art. 455 da CLT, fica assegurado aos empregados dos subempreiteiros o direito de demandar contra o empreiteiro principal, quando ocorrer inadimplência ou insolvência das obrigações do contrato pelo subempreiteiro, podendo a reclamatória ser dirigida simultaneamente contra o empreiteiro principal e o subempreiteiro, eis que a responsabilidade do empreiteiro principal é solidária e não subsidiária. - Nego provimento. Proc. TST-RR-1.216/79, Julgado em 20-11-1979 Arquivo do Ementário Forense, TST/1003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Face ao art. 455 da CLT, aos empregados do subempreiteiro é assegurado o direito de demandar contra o empreiteiro principal, quando ocorrer inadimplência ou insolvência das obrigações do contrato pelo subempreiteiro.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2026-07-28T01:53:30.472Z</dcterms:created>
  <dcterms:modified xsi:type="dcterms:W3CDTF">2026-07-28T01:53:30.472Z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