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09/05/1979</w:t>
      </w:r>
    </w:p>
    <w:p/>
    <w:p>
      <w:r>
        <w:t xml:space="preserve">MUDANÇA DE EMPREGO — SE IMPORTA EM PERDA DO MANDATO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por violação literal do artigo 543, § 3º da CLT, que veda a dispensa de dirigente sindical "a partir do momento do registro da sua candidatura a cargo de direção ou representação sindical, até um ano após o final do seu mandato, caso seja eleito inclusive como suplente, salvo se cometer falta grave devidamente apurada nos termos desta CLT", e não se mudar de emprego durante o mandato, pois esta não é prevista na mesma lei. - Ademais, "os que exercerem determinada atividade ou profissão onde não haja sindicato da respectiva categoria, ou de atividade ou profissão similar ou conexa, poderão filiar-se a sindicato de profissão idêntica, similar ou conexa, existente na localidade mais próxima" (CLT, art. 541). - Mérito - Dou provimento, para restabelecer a sentença de 1º grau, pelos seus jurídicos fundamentos,..., que peço "vênia" para adotar como lastro deste meu voto. Proc. TST-RR-4.547/78, Julgado em 10-05-1979 Arquivo do Ementário Forense, TST/1009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mandatário sindical muda de emprego durante o exercício do seu mandato não perde este, pois a lei assim não dispõe e visa a garantir a liberdade sindical contra os abusos das empresas.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2026-10-16T16:13:39.653Z</dcterms:created>
  <dcterms:modified xsi:type="dcterms:W3CDTF">2026-10-16T16:13:39.653Z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