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09/05/1979</w:t>
      </w:r>
    </w:p>
    <w:p/>
    <w:p>
      <w:r>
        <w:t xml:space="preserve">MUDANÇA DE EMPREGO — SE IMPORTA EM PERDA DO MANDATO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por violação literal do artigo 543, § 3º da CLT, que veda a dispensa de dirigente sindical "a partir do momento do registro da sua candidatura a cargo de direção ou representação sindical, até um ano após o final do seu mandato, caso seja eleito inclusive como suplente, salvo se cometer falta grave devidamente apurada nos termos desta CLT", e não se mudar de emprego durante o mandato, pois esta não é prevista na mesma lei. - Ademais, "os que exercerem determinada atividade ou profissão onde não haja sindicato da respectiva categoria, ou de atividade ou profissão similar ou conexa, poderão filiar-se a sindicato de profissão idêntica, similar ou conexa, existente na localidade mais próxima" (CLT, art. 541). - Mérito - Dou provimento, para restabelecer a sentença de 1º grau, pelos seus jurídicos fundamentos,..., que peço "vênia" para adotar como lastro deste meu voto. Proc. TST-RR-4.547/78, Julgado em 10-05-1979 Arquivo do Ementário Forense, TST/1009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mandatário sindical muda de emprego durante o exercício do seu mandato não perde este, pois a lei assim não dispõe e visa a garantir a liberdade sindical contra os abusos das empresas.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2026-07-28T01:52:40.248Z</dcterms:created>
  <dcterms:modified xsi:type="dcterms:W3CDTF">2026-07-28T01:52:40.248Z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